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3E" w:rsidRPr="00521BC6" w:rsidRDefault="0049013E">
      <w:pPr>
        <w:rPr>
          <w:lang w:val="en-US"/>
        </w:rPr>
      </w:pPr>
      <w:bookmarkStart w:id="0" w:name="_GoBack"/>
      <w:r w:rsidRPr="00521BC6">
        <w:rPr>
          <w:lang w:val="en-US"/>
        </w:rPr>
        <w:t xml:space="preserve">Withdrawal of inhaled corticosteroids in COPD: a European Respiratory Society guideline </w:t>
      </w:r>
    </w:p>
    <w:bookmarkEnd w:id="0"/>
    <w:p w:rsidR="00E73AC5" w:rsidRPr="0047306C" w:rsidRDefault="0049013E">
      <w:pPr>
        <w:rPr>
          <w:lang w:val="en-US"/>
        </w:rPr>
      </w:pPr>
      <w:r w:rsidRPr="0047306C">
        <w:rPr>
          <w:lang w:val="en-US"/>
        </w:rPr>
        <w:t>James D. Chalmers1,14,15, Irena F. Laska 1,15, Frits M.E. Franssen 2,3, Wim Janssens 4 , Ian Pavord5 , David Rigau6 , Melissa J. McDonnell 7 , Nicolas Roche8 , Don D. Sin9 , Daiana Stolz10, Samy Suissa11, Jadwiga Wedzicha12 and Marc Miravitlles 13,14,15</w:t>
      </w:r>
    </w:p>
    <w:p w:rsidR="0049013E" w:rsidRPr="00AC33C7" w:rsidRDefault="0049013E" w:rsidP="0049013E">
      <w:pPr>
        <w:rPr>
          <w:lang w:val="en-US"/>
        </w:rPr>
      </w:pPr>
      <w:r w:rsidRPr="00AC33C7">
        <w:rPr>
          <w:lang w:val="en-US"/>
        </w:rPr>
        <w:t>Eur Respir J 2020; 55: 2000351 [https://doi.org/10.1183/ 13993003.00351-2020]</w:t>
      </w:r>
    </w:p>
    <w:p w:rsidR="0049013E" w:rsidRPr="00AC33C7" w:rsidRDefault="0049013E">
      <w:pPr>
        <w:rPr>
          <w:lang w:val="en-US"/>
        </w:rPr>
      </w:pPr>
    </w:p>
    <w:p w:rsidR="00AC33C7" w:rsidRPr="00AC33C7" w:rsidRDefault="00AC33C7">
      <w:pPr>
        <w:rPr>
          <w:b/>
          <w:bCs/>
          <w:lang w:val="en-US"/>
        </w:rPr>
      </w:pPr>
      <w:r w:rsidRPr="00AC33C7">
        <w:rPr>
          <w:b/>
          <w:bCs/>
          <w:lang w:val="en-US"/>
        </w:rPr>
        <w:t>A</w:t>
      </w:r>
      <w:r w:rsidR="0049013E" w:rsidRPr="00AC33C7">
        <w:rPr>
          <w:b/>
          <w:bCs/>
          <w:lang w:val="en-US"/>
        </w:rPr>
        <w:t xml:space="preserve">BSTRACT </w:t>
      </w:r>
    </w:p>
    <w:p w:rsidR="00AC33C7" w:rsidRDefault="0049013E">
      <w:pPr>
        <w:rPr>
          <w:lang w:val="en-US"/>
        </w:rPr>
      </w:pPr>
      <w:r w:rsidRPr="0049013E">
        <w:rPr>
          <w:lang w:val="en-US"/>
        </w:rPr>
        <w:t xml:space="preserve">Inhaled corticosteroids (ICS) combined with bronchodilators can reduce the frequency of exacerbations in some patients with chronic obstructive pulmonary disease (COPD). There is evidence, however, that ICS are frequently used in patients where their benefit has not been established. Therefore, there is a need for a personalised approach to the use of ICS in COPD and to consider withdrawal of ICS in patients without a clear indication. </w:t>
      </w:r>
    </w:p>
    <w:p w:rsidR="00AC17DE" w:rsidRDefault="0049013E">
      <w:pPr>
        <w:rPr>
          <w:lang w:val="en-US"/>
        </w:rPr>
      </w:pPr>
      <w:r w:rsidRPr="0049013E">
        <w:rPr>
          <w:lang w:val="en-US"/>
        </w:rPr>
        <w:t xml:space="preserve">This document reports European Respiratory Society recommendations regarding ICS withdrawal in patients with COPD. Comprehensive evidence synthesis was performed to summarise all available evidence relevant to the question: should ICS be withdrawn in patients with COPD? The evidence was appraised using the GRADE (Grading of Recommendations, Assessment, Development and Evaluation) approach and the results were summarised in evidence profiles. The evidence synthesis was discussed and recommendations formulated by a committee with expertise in COPD and guideline methodology. </w:t>
      </w:r>
    </w:p>
    <w:p w:rsidR="00AC17DE" w:rsidRDefault="0049013E">
      <w:pPr>
        <w:rPr>
          <w:lang w:val="en-US"/>
        </w:rPr>
      </w:pPr>
      <w:r w:rsidRPr="0049013E">
        <w:rPr>
          <w:lang w:val="en-US"/>
        </w:rPr>
        <w:t xml:space="preserve">After considering the balance of desirable and undesirable consequences, quality of evidence, and feasibility and acceptability of interventions, the guideline panel made: </w:t>
      </w:r>
    </w:p>
    <w:p w:rsidR="00AC17DE" w:rsidRDefault="0049013E" w:rsidP="00AC17DE">
      <w:pPr>
        <w:ind w:left="708"/>
        <w:rPr>
          <w:lang w:val="en-US"/>
        </w:rPr>
      </w:pPr>
      <w:r w:rsidRPr="0049013E">
        <w:rPr>
          <w:lang w:val="en-US"/>
        </w:rPr>
        <w:t xml:space="preserve">1) </w:t>
      </w:r>
      <w:r w:rsidRPr="00AC17DE">
        <w:rPr>
          <w:b/>
          <w:bCs/>
          <w:lang w:val="en-US"/>
        </w:rPr>
        <w:t>conditional recommendation</w:t>
      </w:r>
      <w:r w:rsidRPr="0049013E">
        <w:rPr>
          <w:lang w:val="en-US"/>
        </w:rPr>
        <w:t xml:space="preserve"> for the withdrawal of ICS in patients with COPD without a history of frequent exacerbations</w:t>
      </w:r>
    </w:p>
    <w:p w:rsidR="00AC17DE" w:rsidRDefault="0049013E" w:rsidP="00AC17DE">
      <w:pPr>
        <w:ind w:left="708"/>
        <w:rPr>
          <w:lang w:val="en-US"/>
        </w:rPr>
      </w:pPr>
      <w:r w:rsidRPr="0049013E">
        <w:rPr>
          <w:lang w:val="en-US"/>
        </w:rPr>
        <w:t xml:space="preserve">2) </w:t>
      </w:r>
      <w:r w:rsidRPr="00AC17DE">
        <w:rPr>
          <w:b/>
          <w:bCs/>
          <w:lang w:val="en-US"/>
        </w:rPr>
        <w:t>strong recommendation</w:t>
      </w:r>
      <w:r w:rsidRPr="0049013E">
        <w:rPr>
          <w:lang w:val="en-US"/>
        </w:rPr>
        <w:t xml:space="preserve"> not to withdraw ICS in patients with blood eosinophil counts </w:t>
      </w:r>
      <w:r>
        <w:rPr>
          <w:rFonts w:ascii="Cambria Math" w:hAnsi="Cambria Math" w:cs="Cambria Math"/>
        </w:rPr>
        <w:t>⩾</w:t>
      </w:r>
      <w:r w:rsidR="00AC17DE">
        <w:rPr>
          <w:lang w:val="en-US"/>
        </w:rPr>
        <w:t>300</w:t>
      </w:r>
    </w:p>
    <w:p w:rsidR="00AC17DE" w:rsidRDefault="0049013E" w:rsidP="00AC17DE">
      <w:pPr>
        <w:ind w:left="708"/>
        <w:rPr>
          <w:lang w:val="en-US"/>
        </w:rPr>
      </w:pPr>
      <w:r w:rsidRPr="0049013E">
        <w:rPr>
          <w:lang w:val="en-US"/>
        </w:rPr>
        <w:t xml:space="preserve">3) </w:t>
      </w:r>
      <w:r w:rsidRPr="00AC17DE">
        <w:rPr>
          <w:b/>
          <w:bCs/>
          <w:lang w:val="en-US"/>
        </w:rPr>
        <w:t>strong recommendation</w:t>
      </w:r>
      <w:r w:rsidRPr="0049013E">
        <w:rPr>
          <w:lang w:val="en-US"/>
        </w:rPr>
        <w:t xml:space="preserve"> to treat with one or two long-acting bronchodilators if ICS are withdrawn. </w:t>
      </w:r>
    </w:p>
    <w:p w:rsidR="0049013E" w:rsidRDefault="0049013E" w:rsidP="00AC17DE">
      <w:pPr>
        <w:rPr>
          <w:lang w:val="en-US"/>
        </w:rPr>
      </w:pPr>
      <w:r w:rsidRPr="0049013E">
        <w:rPr>
          <w:lang w:val="en-US"/>
        </w:rPr>
        <w:t>A conditional recommendation indicates that there was uncertainty about the balance of desirable and undesirable consequences of the intervention, and that well-informed patients may make different choices regarding whether to have or not have the specific intervention.</w:t>
      </w:r>
    </w:p>
    <w:p w:rsidR="0049013E" w:rsidRDefault="0049013E">
      <w:pPr>
        <w:rPr>
          <w:lang w:val="en-US"/>
        </w:rPr>
      </w:pPr>
    </w:p>
    <w:p w:rsidR="00AC33C7" w:rsidRPr="00AC33C7" w:rsidRDefault="0049013E" w:rsidP="00AC33C7">
      <w:pPr>
        <w:rPr>
          <w:b/>
          <w:bCs/>
          <w:lang w:val="en-US"/>
        </w:rPr>
      </w:pPr>
      <w:r w:rsidRPr="00AC33C7">
        <w:rPr>
          <w:b/>
          <w:bCs/>
          <w:lang w:val="en-US"/>
        </w:rPr>
        <w:t xml:space="preserve">Should ICS be withdrawn in patients with COPD? </w:t>
      </w:r>
    </w:p>
    <w:p w:rsidR="00AC33C7" w:rsidRDefault="0049013E" w:rsidP="00AC33C7">
      <w:pPr>
        <w:rPr>
          <w:lang w:val="en-US"/>
        </w:rPr>
      </w:pPr>
      <w:r w:rsidRPr="0049013E">
        <w:rPr>
          <w:lang w:val="en-US"/>
        </w:rPr>
        <w:t xml:space="preserve">Patients treated with ICS should be evaluated by recording the frequency of exacerbations and hospitalisations along with measurement of the blood eosinophil count to aid decision making </w:t>
      </w:r>
      <w:r w:rsidR="00AC33C7">
        <w:rPr>
          <w:lang w:val="en-US"/>
        </w:rPr>
        <w:t>w</w:t>
      </w:r>
      <w:r w:rsidRPr="0049013E">
        <w:rPr>
          <w:lang w:val="en-US"/>
        </w:rPr>
        <w:t xml:space="preserve">ith the following recommendations summarised in </w:t>
      </w:r>
      <w:r w:rsidR="00521BC6">
        <w:rPr>
          <w:lang w:val="en-US"/>
        </w:rPr>
        <w:t>the below f</w:t>
      </w:r>
      <w:r w:rsidRPr="0049013E">
        <w:rPr>
          <w:lang w:val="en-US"/>
        </w:rPr>
        <w:t>igure</w:t>
      </w:r>
      <w:r w:rsidR="00521BC6">
        <w:rPr>
          <w:lang w:val="en-US"/>
        </w:rPr>
        <w:t>:</w:t>
      </w:r>
    </w:p>
    <w:p w:rsidR="00AC33C7" w:rsidRDefault="00AC33C7" w:rsidP="00AC33C7">
      <w:pPr>
        <w:rPr>
          <w:lang w:val="en-US"/>
        </w:rPr>
      </w:pPr>
    </w:p>
    <w:p w:rsidR="00AC33C7" w:rsidRDefault="00AC33C7" w:rsidP="00AC33C7">
      <w:pPr>
        <w:rPr>
          <w:lang w:val="en-US"/>
        </w:rPr>
      </w:pPr>
    </w:p>
    <w:p w:rsidR="0049013E" w:rsidRDefault="0049013E" w:rsidP="00AC33C7">
      <w:pPr>
        <w:jc w:val="center"/>
        <w:rPr>
          <w:lang w:val="en-US"/>
        </w:rPr>
      </w:pPr>
      <w:r w:rsidRPr="0049013E">
        <w:rPr>
          <w:noProof/>
          <w:lang w:eastAsia="pt-BR"/>
        </w:rPr>
        <w:lastRenderedPageBreak/>
        <w:drawing>
          <wp:inline distT="0" distB="0" distL="0" distR="0">
            <wp:extent cx="6302749" cy="3248660"/>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4805" cy="3254874"/>
                    </a:xfrm>
                    <a:prstGeom prst="rect">
                      <a:avLst/>
                    </a:prstGeom>
                    <a:noFill/>
                    <a:ln>
                      <a:noFill/>
                    </a:ln>
                  </pic:spPr>
                </pic:pic>
              </a:graphicData>
            </a:graphic>
          </wp:inline>
        </w:drawing>
      </w:r>
    </w:p>
    <w:p w:rsidR="0049013E" w:rsidRDefault="0049013E">
      <w:pPr>
        <w:rPr>
          <w:lang w:val="en-US"/>
        </w:rPr>
      </w:pPr>
    </w:p>
    <w:p w:rsidR="0049013E" w:rsidRPr="00AC33C7" w:rsidRDefault="0049013E" w:rsidP="0049013E">
      <w:pPr>
        <w:spacing w:line="220" w:lineRule="auto"/>
        <w:ind w:right="733"/>
        <w:jc w:val="both"/>
        <w:rPr>
          <w:color w:val="231F20"/>
          <w:lang w:val="en-US"/>
        </w:rPr>
      </w:pPr>
      <w:r w:rsidRPr="00AC33C7">
        <w:rPr>
          <w:color w:val="231F20"/>
          <w:w w:val="90"/>
          <w:lang w:val="en-US"/>
        </w:rPr>
        <w:t xml:space="preserve">Summary of the guideline recommendations. ICS: inhaled corticosteroid. </w:t>
      </w:r>
      <w:r w:rsidRPr="00AC33C7">
        <w:rPr>
          <w:color w:val="231F20"/>
          <w:spacing w:val="-4"/>
          <w:w w:val="90"/>
          <w:lang w:val="en-US"/>
        </w:rPr>
        <w:t xml:space="preserve">We </w:t>
      </w:r>
      <w:r w:rsidRPr="00AC33C7">
        <w:rPr>
          <w:color w:val="231F20"/>
          <w:w w:val="90"/>
          <w:lang w:val="en-US"/>
        </w:rPr>
        <w:t>recommend taking account</w:t>
      </w:r>
      <w:r w:rsidRPr="00AC33C7">
        <w:rPr>
          <w:color w:val="231F20"/>
          <w:spacing w:val="-6"/>
          <w:w w:val="90"/>
          <w:lang w:val="en-US"/>
        </w:rPr>
        <w:t xml:space="preserve"> </w:t>
      </w:r>
      <w:r w:rsidRPr="00AC33C7">
        <w:rPr>
          <w:color w:val="231F20"/>
          <w:w w:val="90"/>
          <w:lang w:val="en-US"/>
        </w:rPr>
        <w:t>of</w:t>
      </w:r>
      <w:r w:rsidRPr="00AC33C7">
        <w:rPr>
          <w:color w:val="231F20"/>
          <w:spacing w:val="-7"/>
          <w:w w:val="90"/>
          <w:lang w:val="en-US"/>
        </w:rPr>
        <w:t xml:space="preserve"> </w:t>
      </w:r>
      <w:r w:rsidRPr="00AC33C7">
        <w:rPr>
          <w:color w:val="231F20"/>
          <w:w w:val="90"/>
          <w:lang w:val="en-US"/>
        </w:rPr>
        <w:t>prior</w:t>
      </w:r>
      <w:r w:rsidRPr="00AC33C7">
        <w:rPr>
          <w:color w:val="231F20"/>
          <w:spacing w:val="-9"/>
          <w:w w:val="90"/>
          <w:lang w:val="en-US"/>
        </w:rPr>
        <w:t xml:space="preserve"> </w:t>
      </w:r>
      <w:r w:rsidRPr="00AC33C7">
        <w:rPr>
          <w:color w:val="231F20"/>
          <w:w w:val="90"/>
          <w:lang w:val="en-US"/>
        </w:rPr>
        <w:t>exacerbation</w:t>
      </w:r>
      <w:r w:rsidRPr="00AC33C7">
        <w:rPr>
          <w:color w:val="231F20"/>
          <w:spacing w:val="-6"/>
          <w:w w:val="90"/>
          <w:lang w:val="en-US"/>
        </w:rPr>
        <w:t xml:space="preserve"> </w:t>
      </w:r>
      <w:r w:rsidRPr="00AC33C7">
        <w:rPr>
          <w:color w:val="231F20"/>
          <w:w w:val="90"/>
          <w:lang w:val="en-US"/>
        </w:rPr>
        <w:t>history</w:t>
      </w:r>
      <w:r w:rsidRPr="00AC33C7">
        <w:rPr>
          <w:color w:val="231F20"/>
          <w:spacing w:val="-8"/>
          <w:w w:val="90"/>
          <w:lang w:val="en-US"/>
        </w:rPr>
        <w:t xml:space="preserve"> </w:t>
      </w:r>
      <w:r w:rsidRPr="00AC33C7">
        <w:rPr>
          <w:color w:val="231F20"/>
          <w:w w:val="90"/>
          <w:lang w:val="en-US"/>
        </w:rPr>
        <w:t>and</w:t>
      </w:r>
      <w:r w:rsidRPr="00AC33C7">
        <w:rPr>
          <w:color w:val="231F20"/>
          <w:spacing w:val="-7"/>
          <w:w w:val="90"/>
          <w:lang w:val="en-US"/>
        </w:rPr>
        <w:t xml:space="preserve"> </w:t>
      </w:r>
      <w:r w:rsidRPr="00AC33C7">
        <w:rPr>
          <w:color w:val="231F20"/>
          <w:w w:val="90"/>
          <w:lang w:val="en-US"/>
        </w:rPr>
        <w:t>blood</w:t>
      </w:r>
      <w:r w:rsidRPr="00AC33C7">
        <w:rPr>
          <w:color w:val="231F20"/>
          <w:spacing w:val="-5"/>
          <w:w w:val="90"/>
          <w:lang w:val="en-US"/>
        </w:rPr>
        <w:t xml:space="preserve"> </w:t>
      </w:r>
      <w:r w:rsidRPr="00AC33C7">
        <w:rPr>
          <w:color w:val="231F20"/>
          <w:w w:val="90"/>
          <w:lang w:val="en-US"/>
        </w:rPr>
        <w:t>eosinophil</w:t>
      </w:r>
      <w:r w:rsidRPr="00AC33C7">
        <w:rPr>
          <w:color w:val="231F20"/>
          <w:spacing w:val="-6"/>
          <w:w w:val="90"/>
          <w:lang w:val="en-US"/>
        </w:rPr>
        <w:t xml:space="preserve"> </w:t>
      </w:r>
      <w:r w:rsidRPr="00AC33C7">
        <w:rPr>
          <w:color w:val="231F20"/>
          <w:w w:val="90"/>
          <w:lang w:val="en-US"/>
        </w:rPr>
        <w:t>counts.</w:t>
      </w:r>
      <w:r w:rsidRPr="00AC33C7">
        <w:rPr>
          <w:color w:val="231F20"/>
          <w:spacing w:val="-7"/>
          <w:w w:val="90"/>
          <w:lang w:val="en-US"/>
        </w:rPr>
        <w:t xml:space="preserve"> </w:t>
      </w:r>
      <w:r w:rsidRPr="00AC33C7">
        <w:rPr>
          <w:color w:val="231F20"/>
          <w:w w:val="90"/>
          <w:lang w:val="en-US"/>
        </w:rPr>
        <w:t>Patients</w:t>
      </w:r>
      <w:r w:rsidRPr="00AC33C7">
        <w:rPr>
          <w:color w:val="231F20"/>
          <w:spacing w:val="-6"/>
          <w:w w:val="90"/>
          <w:lang w:val="en-US"/>
        </w:rPr>
        <w:t xml:space="preserve"> </w:t>
      </w:r>
      <w:r w:rsidRPr="00AC33C7">
        <w:rPr>
          <w:color w:val="231F20"/>
          <w:w w:val="90"/>
          <w:lang w:val="en-US"/>
        </w:rPr>
        <w:t>with</w:t>
      </w:r>
      <w:r w:rsidRPr="00AC33C7">
        <w:rPr>
          <w:color w:val="231F20"/>
          <w:spacing w:val="-7"/>
          <w:w w:val="90"/>
          <w:lang w:val="en-US"/>
        </w:rPr>
        <w:t xml:space="preserve"> </w:t>
      </w:r>
      <w:r w:rsidRPr="00AC33C7">
        <w:rPr>
          <w:color w:val="231F20"/>
          <w:w w:val="90"/>
          <w:lang w:val="en-US"/>
        </w:rPr>
        <w:t>a</w:t>
      </w:r>
      <w:r w:rsidRPr="00AC33C7">
        <w:rPr>
          <w:color w:val="231F20"/>
          <w:spacing w:val="-6"/>
          <w:w w:val="90"/>
          <w:lang w:val="en-US"/>
        </w:rPr>
        <w:t xml:space="preserve"> </w:t>
      </w:r>
      <w:r w:rsidRPr="00AC33C7">
        <w:rPr>
          <w:color w:val="231F20"/>
          <w:w w:val="90"/>
          <w:lang w:val="en-US"/>
        </w:rPr>
        <w:t>high</w:t>
      </w:r>
      <w:r w:rsidRPr="00AC33C7">
        <w:rPr>
          <w:color w:val="231F20"/>
          <w:spacing w:val="-6"/>
          <w:w w:val="90"/>
          <w:lang w:val="en-US"/>
        </w:rPr>
        <w:t xml:space="preserve"> </w:t>
      </w:r>
      <w:r w:rsidRPr="00AC33C7">
        <w:rPr>
          <w:color w:val="231F20"/>
          <w:w w:val="90"/>
          <w:lang w:val="en-US"/>
        </w:rPr>
        <w:t>rate</w:t>
      </w:r>
      <w:r w:rsidRPr="00AC33C7">
        <w:rPr>
          <w:color w:val="231F20"/>
          <w:spacing w:val="-5"/>
          <w:w w:val="90"/>
          <w:lang w:val="en-US"/>
        </w:rPr>
        <w:t xml:space="preserve"> </w:t>
      </w:r>
      <w:r w:rsidRPr="00AC33C7">
        <w:rPr>
          <w:color w:val="231F20"/>
          <w:w w:val="90"/>
          <w:lang w:val="en-US"/>
        </w:rPr>
        <w:t>of</w:t>
      </w:r>
      <w:r w:rsidRPr="00AC33C7">
        <w:rPr>
          <w:color w:val="231F20"/>
          <w:spacing w:val="-7"/>
          <w:w w:val="90"/>
          <w:lang w:val="en-US"/>
        </w:rPr>
        <w:t xml:space="preserve"> </w:t>
      </w:r>
      <w:r w:rsidRPr="00AC33C7">
        <w:rPr>
          <w:color w:val="231F20"/>
          <w:w w:val="90"/>
          <w:lang w:val="en-US"/>
        </w:rPr>
        <w:t xml:space="preserve">exacerbations </w:t>
      </w:r>
      <w:r w:rsidRPr="00AC33C7">
        <w:rPr>
          <w:color w:val="231F20"/>
          <w:w w:val="95"/>
          <w:lang w:val="en-US"/>
        </w:rPr>
        <w:t>and</w:t>
      </w:r>
      <w:r w:rsidRPr="00AC33C7">
        <w:rPr>
          <w:color w:val="231F20"/>
          <w:spacing w:val="-17"/>
          <w:w w:val="95"/>
          <w:lang w:val="en-US"/>
        </w:rPr>
        <w:t xml:space="preserve"> </w:t>
      </w:r>
      <w:r w:rsidRPr="00AC33C7">
        <w:rPr>
          <w:color w:val="231F20"/>
          <w:w w:val="95"/>
          <w:lang w:val="en-US"/>
        </w:rPr>
        <w:t>eosinophil</w:t>
      </w:r>
      <w:r w:rsidRPr="00AC33C7">
        <w:rPr>
          <w:color w:val="231F20"/>
          <w:spacing w:val="-16"/>
          <w:w w:val="95"/>
          <w:lang w:val="en-US"/>
        </w:rPr>
        <w:t xml:space="preserve"> </w:t>
      </w:r>
      <w:r w:rsidRPr="00AC33C7">
        <w:rPr>
          <w:color w:val="231F20"/>
          <w:w w:val="95"/>
          <w:lang w:val="en-US"/>
        </w:rPr>
        <w:t>counts</w:t>
      </w:r>
      <w:r w:rsidRPr="00AC33C7">
        <w:rPr>
          <w:color w:val="231F20"/>
          <w:spacing w:val="-16"/>
          <w:w w:val="95"/>
          <w:lang w:val="en-US"/>
        </w:rPr>
        <w:t xml:space="preserve"> </w:t>
      </w:r>
      <w:r w:rsidRPr="00AC33C7">
        <w:rPr>
          <w:color w:val="231F20"/>
          <w:w w:val="95"/>
          <w:lang w:val="en-US"/>
        </w:rPr>
        <w:t>&gt;300</w:t>
      </w:r>
      <w:r w:rsidRPr="00AC33C7">
        <w:rPr>
          <w:color w:val="231F20"/>
          <w:spacing w:val="-35"/>
          <w:w w:val="95"/>
          <w:lang w:val="en-US"/>
        </w:rPr>
        <w:t xml:space="preserve"> </w:t>
      </w:r>
      <w:r w:rsidRPr="00AC33C7">
        <w:rPr>
          <w:color w:val="231F20"/>
          <w:w w:val="95"/>
          <w:lang w:val="en-US"/>
        </w:rPr>
        <w:t>cells·µL</w:t>
      </w:r>
      <w:r w:rsidRPr="00AC33C7">
        <w:rPr>
          <w:color w:val="231F20"/>
          <w:w w:val="95"/>
          <w:vertAlign w:val="superscript"/>
          <w:lang w:val="en-US"/>
        </w:rPr>
        <w:t>−1</w:t>
      </w:r>
      <w:r w:rsidRPr="00AC33C7">
        <w:rPr>
          <w:color w:val="231F20"/>
          <w:spacing w:val="-16"/>
          <w:w w:val="95"/>
          <w:lang w:val="en-US"/>
        </w:rPr>
        <w:t xml:space="preserve"> </w:t>
      </w:r>
      <w:r w:rsidRPr="00AC33C7">
        <w:rPr>
          <w:color w:val="231F20"/>
          <w:w w:val="95"/>
          <w:lang w:val="en-US"/>
        </w:rPr>
        <w:t>should</w:t>
      </w:r>
      <w:r w:rsidRPr="00AC33C7">
        <w:rPr>
          <w:color w:val="231F20"/>
          <w:spacing w:val="-16"/>
          <w:w w:val="95"/>
          <w:lang w:val="en-US"/>
        </w:rPr>
        <w:t xml:space="preserve"> </w:t>
      </w:r>
      <w:r w:rsidRPr="00AC33C7">
        <w:rPr>
          <w:color w:val="231F20"/>
          <w:w w:val="95"/>
          <w:lang w:val="en-US"/>
        </w:rPr>
        <w:t>not</w:t>
      </w:r>
      <w:r w:rsidRPr="00AC33C7">
        <w:rPr>
          <w:color w:val="231F20"/>
          <w:spacing w:val="-16"/>
          <w:w w:val="95"/>
          <w:lang w:val="en-US"/>
        </w:rPr>
        <w:t xml:space="preserve"> </w:t>
      </w:r>
      <w:r w:rsidRPr="00AC33C7">
        <w:rPr>
          <w:color w:val="231F20"/>
          <w:w w:val="95"/>
          <w:lang w:val="en-US"/>
        </w:rPr>
        <w:t>be</w:t>
      </w:r>
      <w:r w:rsidRPr="00AC33C7">
        <w:rPr>
          <w:color w:val="231F20"/>
          <w:spacing w:val="-16"/>
          <w:w w:val="95"/>
          <w:lang w:val="en-US"/>
        </w:rPr>
        <w:t xml:space="preserve"> </w:t>
      </w:r>
      <w:r w:rsidRPr="00AC33C7">
        <w:rPr>
          <w:color w:val="231F20"/>
          <w:w w:val="95"/>
          <w:lang w:val="en-US"/>
        </w:rPr>
        <w:t>considered</w:t>
      </w:r>
      <w:r w:rsidRPr="00AC33C7">
        <w:rPr>
          <w:color w:val="231F20"/>
          <w:spacing w:val="-16"/>
          <w:w w:val="95"/>
          <w:lang w:val="en-US"/>
        </w:rPr>
        <w:t xml:space="preserve"> </w:t>
      </w:r>
      <w:r w:rsidRPr="00AC33C7">
        <w:rPr>
          <w:color w:val="231F20"/>
          <w:w w:val="95"/>
          <w:lang w:val="en-US"/>
        </w:rPr>
        <w:t>for</w:t>
      </w:r>
      <w:r w:rsidRPr="00AC33C7">
        <w:rPr>
          <w:color w:val="231F20"/>
          <w:spacing w:val="-16"/>
          <w:w w:val="95"/>
          <w:lang w:val="en-US"/>
        </w:rPr>
        <w:t xml:space="preserve"> </w:t>
      </w:r>
      <w:r w:rsidRPr="00AC33C7">
        <w:rPr>
          <w:color w:val="231F20"/>
          <w:w w:val="95"/>
          <w:lang w:val="en-US"/>
        </w:rPr>
        <w:t>ICS</w:t>
      </w:r>
      <w:r w:rsidRPr="00AC33C7">
        <w:rPr>
          <w:color w:val="231F20"/>
          <w:spacing w:val="-16"/>
          <w:w w:val="95"/>
          <w:lang w:val="en-US"/>
        </w:rPr>
        <w:t xml:space="preserve"> </w:t>
      </w:r>
      <w:r w:rsidRPr="00AC33C7">
        <w:rPr>
          <w:color w:val="231F20"/>
          <w:w w:val="95"/>
          <w:lang w:val="en-US"/>
        </w:rPr>
        <w:t>withdrawal.</w:t>
      </w:r>
      <w:r w:rsidRPr="00AC33C7">
        <w:rPr>
          <w:color w:val="231F20"/>
          <w:spacing w:val="-16"/>
          <w:w w:val="95"/>
          <w:lang w:val="en-US"/>
        </w:rPr>
        <w:t xml:space="preserve"> </w:t>
      </w:r>
      <w:r w:rsidRPr="00AC33C7">
        <w:rPr>
          <w:color w:val="231F20"/>
          <w:w w:val="95"/>
          <w:lang w:val="en-US"/>
        </w:rPr>
        <w:t>Patients</w:t>
      </w:r>
      <w:r w:rsidRPr="00AC33C7">
        <w:rPr>
          <w:color w:val="231F20"/>
          <w:spacing w:val="-16"/>
          <w:w w:val="95"/>
          <w:lang w:val="en-US"/>
        </w:rPr>
        <w:t xml:space="preserve"> </w:t>
      </w:r>
      <w:r w:rsidRPr="00AC33C7">
        <w:rPr>
          <w:color w:val="231F20"/>
          <w:w w:val="95"/>
          <w:lang w:val="en-US"/>
        </w:rPr>
        <w:t>not</w:t>
      </w:r>
      <w:r w:rsidRPr="00AC33C7">
        <w:rPr>
          <w:color w:val="231F20"/>
          <w:spacing w:val="-16"/>
          <w:w w:val="95"/>
          <w:lang w:val="en-US"/>
        </w:rPr>
        <w:t xml:space="preserve"> </w:t>
      </w:r>
      <w:r w:rsidRPr="00AC33C7">
        <w:rPr>
          <w:color w:val="231F20"/>
          <w:w w:val="95"/>
          <w:lang w:val="en-US"/>
        </w:rPr>
        <w:t xml:space="preserve">meeting </w:t>
      </w:r>
      <w:r w:rsidRPr="00AC33C7">
        <w:rPr>
          <w:color w:val="231F20"/>
          <w:lang w:val="en-US"/>
        </w:rPr>
        <w:t>these</w:t>
      </w:r>
      <w:r w:rsidRPr="00AC33C7">
        <w:rPr>
          <w:color w:val="231F20"/>
          <w:spacing w:val="-15"/>
          <w:lang w:val="en-US"/>
        </w:rPr>
        <w:t xml:space="preserve"> </w:t>
      </w:r>
      <w:r w:rsidRPr="00AC33C7">
        <w:rPr>
          <w:color w:val="231F20"/>
          <w:lang w:val="en-US"/>
        </w:rPr>
        <w:t>criteria</w:t>
      </w:r>
      <w:r w:rsidRPr="00AC33C7">
        <w:rPr>
          <w:color w:val="231F20"/>
          <w:spacing w:val="-14"/>
          <w:lang w:val="en-US"/>
        </w:rPr>
        <w:t xml:space="preserve"> </w:t>
      </w:r>
      <w:r w:rsidRPr="00AC33C7">
        <w:rPr>
          <w:color w:val="231F20"/>
          <w:lang w:val="en-US"/>
        </w:rPr>
        <w:t>may</w:t>
      </w:r>
      <w:r w:rsidRPr="00AC33C7">
        <w:rPr>
          <w:color w:val="231F20"/>
          <w:spacing w:val="-14"/>
          <w:lang w:val="en-US"/>
        </w:rPr>
        <w:t xml:space="preserve"> </w:t>
      </w:r>
      <w:r w:rsidRPr="00AC33C7">
        <w:rPr>
          <w:color w:val="231F20"/>
          <w:lang w:val="en-US"/>
        </w:rPr>
        <w:t>be</w:t>
      </w:r>
      <w:r w:rsidRPr="00AC33C7">
        <w:rPr>
          <w:color w:val="231F20"/>
          <w:spacing w:val="-15"/>
          <w:lang w:val="en-US"/>
        </w:rPr>
        <w:t xml:space="preserve"> </w:t>
      </w:r>
      <w:r w:rsidRPr="00AC33C7">
        <w:rPr>
          <w:color w:val="231F20"/>
          <w:lang w:val="en-US"/>
        </w:rPr>
        <w:t>candidates</w:t>
      </w:r>
      <w:r w:rsidRPr="00AC33C7">
        <w:rPr>
          <w:color w:val="231F20"/>
          <w:spacing w:val="-14"/>
          <w:lang w:val="en-US"/>
        </w:rPr>
        <w:t xml:space="preserve"> </w:t>
      </w:r>
      <w:r w:rsidRPr="00AC33C7">
        <w:rPr>
          <w:color w:val="231F20"/>
          <w:lang w:val="en-US"/>
        </w:rPr>
        <w:t>for</w:t>
      </w:r>
      <w:r w:rsidRPr="00AC33C7">
        <w:rPr>
          <w:color w:val="231F20"/>
          <w:spacing w:val="-14"/>
          <w:lang w:val="en-US"/>
        </w:rPr>
        <w:t xml:space="preserve"> </w:t>
      </w:r>
      <w:r w:rsidRPr="00AC33C7">
        <w:rPr>
          <w:color w:val="231F20"/>
          <w:lang w:val="en-US"/>
        </w:rPr>
        <w:t>ICS</w:t>
      </w:r>
      <w:r w:rsidRPr="00AC33C7">
        <w:rPr>
          <w:color w:val="231F20"/>
          <w:spacing w:val="-15"/>
          <w:lang w:val="en-US"/>
        </w:rPr>
        <w:t xml:space="preserve"> </w:t>
      </w:r>
      <w:r w:rsidRPr="00AC33C7">
        <w:rPr>
          <w:color w:val="231F20"/>
          <w:lang w:val="en-US"/>
        </w:rPr>
        <w:t>withdrawal.</w:t>
      </w:r>
    </w:p>
    <w:p w:rsidR="0049013E" w:rsidRPr="00AC33C7" w:rsidRDefault="0049013E" w:rsidP="0049013E">
      <w:pPr>
        <w:spacing w:line="220" w:lineRule="auto"/>
        <w:ind w:right="733"/>
        <w:jc w:val="both"/>
        <w:rPr>
          <w:color w:val="231F20"/>
          <w:lang w:val="en-US"/>
        </w:rPr>
      </w:pPr>
    </w:p>
    <w:p w:rsidR="0049013E" w:rsidRPr="00AC33C7" w:rsidRDefault="0049013E" w:rsidP="0049013E">
      <w:pPr>
        <w:spacing w:before="107"/>
        <w:rPr>
          <w:b/>
          <w:bCs/>
          <w:i/>
        </w:rPr>
      </w:pPr>
      <w:r w:rsidRPr="00AC33C7">
        <w:rPr>
          <w:b/>
          <w:bCs/>
          <w:i/>
        </w:rPr>
        <w:t>Recommendations</w:t>
      </w:r>
    </w:p>
    <w:p w:rsidR="0049013E" w:rsidRPr="00AC33C7" w:rsidRDefault="0049013E" w:rsidP="0049013E">
      <w:pPr>
        <w:pStyle w:val="PargrafodaLista"/>
        <w:numPr>
          <w:ilvl w:val="1"/>
          <w:numId w:val="1"/>
        </w:numPr>
        <w:tabs>
          <w:tab w:val="left" w:pos="3760"/>
        </w:tabs>
        <w:spacing w:before="132" w:line="254" w:lineRule="auto"/>
        <w:ind w:left="239"/>
        <w:rPr>
          <w:rFonts w:asciiTheme="minorHAnsi" w:hAnsiTheme="minorHAnsi"/>
        </w:rPr>
      </w:pPr>
      <w:r w:rsidRPr="00AC33C7">
        <w:rPr>
          <w:rFonts w:asciiTheme="minorHAnsi" w:hAnsiTheme="minorHAnsi"/>
          <w:color w:val="231F20"/>
        </w:rPr>
        <w:t>For patients with COPD without a history of frequent exacerbations consider ICS withdrawal (conditional recommendation, moderate quality of</w:t>
      </w:r>
      <w:r w:rsidRPr="00AC33C7">
        <w:rPr>
          <w:rFonts w:asciiTheme="minorHAnsi" w:hAnsiTheme="minorHAnsi"/>
          <w:color w:val="231F20"/>
          <w:spacing w:val="37"/>
        </w:rPr>
        <w:t xml:space="preserve"> </w:t>
      </w:r>
      <w:r w:rsidRPr="00AC33C7">
        <w:rPr>
          <w:rFonts w:asciiTheme="minorHAnsi" w:hAnsiTheme="minorHAnsi"/>
          <w:color w:val="231F20"/>
        </w:rPr>
        <w:t>evidence).</w:t>
      </w:r>
    </w:p>
    <w:p w:rsidR="0049013E" w:rsidRPr="00AC33C7" w:rsidRDefault="0049013E" w:rsidP="0049013E">
      <w:pPr>
        <w:pStyle w:val="PargrafodaLista"/>
        <w:numPr>
          <w:ilvl w:val="1"/>
          <w:numId w:val="1"/>
        </w:numPr>
        <w:tabs>
          <w:tab w:val="left" w:pos="3760"/>
        </w:tabs>
        <w:spacing w:before="1"/>
        <w:ind w:left="239" w:right="0"/>
        <w:rPr>
          <w:rFonts w:asciiTheme="minorHAnsi" w:hAnsiTheme="minorHAnsi"/>
        </w:rPr>
      </w:pPr>
      <w:r w:rsidRPr="00AC33C7">
        <w:rPr>
          <w:rFonts w:asciiTheme="minorHAnsi" w:hAnsiTheme="minorHAnsi"/>
          <w:color w:val="231F20"/>
          <w:spacing w:val="-4"/>
        </w:rPr>
        <w:t>We</w:t>
      </w:r>
      <w:r w:rsidRPr="00AC33C7">
        <w:rPr>
          <w:rFonts w:asciiTheme="minorHAnsi" w:hAnsiTheme="minorHAnsi"/>
          <w:color w:val="231F20"/>
          <w:spacing w:val="26"/>
        </w:rPr>
        <w:t xml:space="preserve"> </w:t>
      </w:r>
      <w:r w:rsidRPr="00AC33C7">
        <w:rPr>
          <w:rFonts w:asciiTheme="minorHAnsi" w:hAnsiTheme="minorHAnsi"/>
          <w:color w:val="231F20"/>
        </w:rPr>
        <w:t>recommend</w:t>
      </w:r>
      <w:r w:rsidRPr="00AC33C7">
        <w:rPr>
          <w:rFonts w:asciiTheme="minorHAnsi" w:hAnsiTheme="minorHAnsi"/>
          <w:color w:val="231F20"/>
          <w:spacing w:val="19"/>
        </w:rPr>
        <w:t xml:space="preserve"> </w:t>
      </w:r>
      <w:r w:rsidRPr="00AC33C7">
        <w:rPr>
          <w:rFonts w:asciiTheme="minorHAnsi" w:hAnsiTheme="minorHAnsi"/>
          <w:color w:val="231F20"/>
        </w:rPr>
        <w:t>not</w:t>
      </w:r>
      <w:r w:rsidRPr="00AC33C7">
        <w:rPr>
          <w:rFonts w:asciiTheme="minorHAnsi" w:hAnsiTheme="minorHAnsi"/>
          <w:color w:val="231F20"/>
          <w:spacing w:val="20"/>
        </w:rPr>
        <w:t xml:space="preserve"> </w:t>
      </w:r>
      <w:r w:rsidRPr="00AC33C7">
        <w:rPr>
          <w:rFonts w:asciiTheme="minorHAnsi" w:hAnsiTheme="minorHAnsi"/>
          <w:color w:val="231F20"/>
        </w:rPr>
        <w:t>to</w:t>
      </w:r>
      <w:r w:rsidRPr="00AC33C7">
        <w:rPr>
          <w:rFonts w:asciiTheme="minorHAnsi" w:hAnsiTheme="minorHAnsi"/>
          <w:color w:val="231F20"/>
          <w:spacing w:val="15"/>
        </w:rPr>
        <w:t xml:space="preserve"> </w:t>
      </w:r>
      <w:r w:rsidRPr="00AC33C7">
        <w:rPr>
          <w:rFonts w:asciiTheme="minorHAnsi" w:hAnsiTheme="minorHAnsi"/>
          <w:color w:val="231F20"/>
        </w:rPr>
        <w:t>withdraw</w:t>
      </w:r>
      <w:r w:rsidRPr="00AC33C7">
        <w:rPr>
          <w:rFonts w:asciiTheme="minorHAnsi" w:hAnsiTheme="minorHAnsi"/>
          <w:color w:val="231F20"/>
          <w:spacing w:val="19"/>
        </w:rPr>
        <w:t xml:space="preserve"> </w:t>
      </w:r>
      <w:r w:rsidRPr="00AC33C7">
        <w:rPr>
          <w:rFonts w:asciiTheme="minorHAnsi" w:hAnsiTheme="minorHAnsi"/>
          <w:color w:val="231F20"/>
        </w:rPr>
        <w:t>ICS</w:t>
      </w:r>
      <w:r w:rsidRPr="00AC33C7">
        <w:rPr>
          <w:rFonts w:asciiTheme="minorHAnsi" w:hAnsiTheme="minorHAnsi"/>
          <w:color w:val="231F20"/>
          <w:spacing w:val="20"/>
        </w:rPr>
        <w:t xml:space="preserve"> </w:t>
      </w:r>
      <w:r w:rsidRPr="00AC33C7">
        <w:rPr>
          <w:rFonts w:asciiTheme="minorHAnsi" w:hAnsiTheme="minorHAnsi"/>
          <w:color w:val="231F20"/>
        </w:rPr>
        <w:t>in</w:t>
      </w:r>
      <w:r w:rsidRPr="00AC33C7">
        <w:rPr>
          <w:rFonts w:asciiTheme="minorHAnsi" w:hAnsiTheme="minorHAnsi"/>
          <w:color w:val="231F20"/>
          <w:spacing w:val="19"/>
        </w:rPr>
        <w:t xml:space="preserve"> </w:t>
      </w:r>
      <w:r w:rsidRPr="00AC33C7">
        <w:rPr>
          <w:rFonts w:asciiTheme="minorHAnsi" w:hAnsiTheme="minorHAnsi"/>
          <w:color w:val="231F20"/>
        </w:rPr>
        <w:t>patients</w:t>
      </w:r>
      <w:r w:rsidRPr="00AC33C7">
        <w:rPr>
          <w:rFonts w:asciiTheme="minorHAnsi" w:hAnsiTheme="minorHAnsi"/>
          <w:color w:val="231F20"/>
          <w:spacing w:val="20"/>
        </w:rPr>
        <w:t xml:space="preserve"> </w:t>
      </w:r>
      <w:r w:rsidRPr="00AC33C7">
        <w:rPr>
          <w:rFonts w:asciiTheme="minorHAnsi" w:hAnsiTheme="minorHAnsi"/>
          <w:color w:val="231F20"/>
        </w:rPr>
        <w:t>who</w:t>
      </w:r>
      <w:r w:rsidRPr="00AC33C7">
        <w:rPr>
          <w:rFonts w:asciiTheme="minorHAnsi" w:hAnsiTheme="minorHAnsi"/>
          <w:color w:val="231F20"/>
          <w:spacing w:val="19"/>
        </w:rPr>
        <w:t xml:space="preserve"> </w:t>
      </w:r>
      <w:r w:rsidRPr="00AC33C7">
        <w:rPr>
          <w:rFonts w:asciiTheme="minorHAnsi" w:hAnsiTheme="minorHAnsi"/>
          <w:color w:val="231F20"/>
          <w:spacing w:val="-3"/>
        </w:rPr>
        <w:t>have</w:t>
      </w:r>
      <w:r w:rsidRPr="00AC33C7">
        <w:rPr>
          <w:rFonts w:asciiTheme="minorHAnsi" w:hAnsiTheme="minorHAnsi"/>
          <w:color w:val="231F20"/>
          <w:spacing w:val="25"/>
        </w:rPr>
        <w:t xml:space="preserve"> </w:t>
      </w:r>
      <w:r w:rsidRPr="00AC33C7">
        <w:rPr>
          <w:rFonts w:asciiTheme="minorHAnsi" w:hAnsiTheme="minorHAnsi"/>
          <w:color w:val="231F20"/>
        </w:rPr>
        <w:t>a</w:t>
      </w:r>
      <w:r w:rsidRPr="00AC33C7">
        <w:rPr>
          <w:rFonts w:asciiTheme="minorHAnsi" w:hAnsiTheme="minorHAnsi"/>
          <w:color w:val="231F20"/>
          <w:spacing w:val="19"/>
        </w:rPr>
        <w:t xml:space="preserve"> </w:t>
      </w:r>
      <w:r w:rsidRPr="00AC33C7">
        <w:rPr>
          <w:rFonts w:asciiTheme="minorHAnsi" w:hAnsiTheme="minorHAnsi"/>
          <w:color w:val="231F20"/>
        </w:rPr>
        <w:t>blood</w:t>
      </w:r>
      <w:r w:rsidRPr="00AC33C7">
        <w:rPr>
          <w:rFonts w:asciiTheme="minorHAnsi" w:hAnsiTheme="minorHAnsi"/>
          <w:color w:val="231F20"/>
          <w:spacing w:val="19"/>
        </w:rPr>
        <w:t xml:space="preserve"> </w:t>
      </w:r>
      <w:r w:rsidRPr="00AC33C7">
        <w:rPr>
          <w:rFonts w:asciiTheme="minorHAnsi" w:hAnsiTheme="minorHAnsi"/>
          <w:color w:val="231F20"/>
        </w:rPr>
        <w:t>eosinophil</w:t>
      </w:r>
      <w:r w:rsidRPr="00AC33C7">
        <w:rPr>
          <w:rFonts w:asciiTheme="minorHAnsi" w:hAnsiTheme="minorHAnsi"/>
          <w:color w:val="231F20"/>
          <w:spacing w:val="19"/>
        </w:rPr>
        <w:t xml:space="preserve"> </w:t>
      </w:r>
      <w:r w:rsidRPr="00AC33C7">
        <w:rPr>
          <w:rFonts w:asciiTheme="minorHAnsi" w:hAnsiTheme="minorHAnsi"/>
          <w:color w:val="231F20"/>
        </w:rPr>
        <w:t>count</w:t>
      </w:r>
    </w:p>
    <w:p w:rsidR="0049013E" w:rsidRPr="00AC33C7" w:rsidRDefault="0049013E" w:rsidP="0049013E">
      <w:pPr>
        <w:pStyle w:val="Corpodetexto"/>
        <w:spacing w:before="13" w:line="249" w:lineRule="auto"/>
        <w:ind w:left="239" w:right="735"/>
        <w:jc w:val="both"/>
        <w:rPr>
          <w:rFonts w:asciiTheme="minorHAnsi" w:hAnsiTheme="minorHAnsi"/>
          <w:sz w:val="22"/>
          <w:szCs w:val="22"/>
        </w:rPr>
      </w:pPr>
      <w:r w:rsidRPr="00AC33C7">
        <w:rPr>
          <w:rFonts w:ascii="Cambria Math" w:eastAsia="DejaVu Sans" w:hAnsi="Cambria Math" w:cs="Cambria Math"/>
          <w:color w:val="231F20"/>
          <w:sz w:val="22"/>
          <w:szCs w:val="22"/>
        </w:rPr>
        <w:t>⩾</w:t>
      </w:r>
      <w:r w:rsidRPr="00AC33C7">
        <w:rPr>
          <w:rFonts w:asciiTheme="minorHAnsi" w:hAnsiTheme="minorHAnsi"/>
          <w:color w:val="231F20"/>
          <w:sz w:val="22"/>
          <w:szCs w:val="22"/>
        </w:rPr>
        <w:t>300 eosinophils·µL</w:t>
      </w:r>
      <w:r w:rsidRPr="00AC33C7">
        <w:rPr>
          <w:rFonts w:asciiTheme="minorHAnsi" w:eastAsia="Arial" w:hAnsiTheme="minorHAnsi" w:cs="Arial"/>
          <w:color w:val="231F20"/>
          <w:sz w:val="22"/>
          <w:szCs w:val="22"/>
          <w:vertAlign w:val="superscript"/>
        </w:rPr>
        <w:t>−</w:t>
      </w:r>
      <w:r w:rsidRPr="00AC33C7">
        <w:rPr>
          <w:rFonts w:asciiTheme="minorHAnsi" w:hAnsiTheme="minorHAnsi"/>
          <w:color w:val="231F20"/>
          <w:sz w:val="22"/>
          <w:szCs w:val="22"/>
          <w:vertAlign w:val="superscript"/>
        </w:rPr>
        <w:t>1</w:t>
      </w:r>
      <w:r w:rsidRPr="00AC33C7">
        <w:rPr>
          <w:rFonts w:asciiTheme="minorHAnsi" w:hAnsiTheme="minorHAnsi"/>
          <w:color w:val="231F20"/>
          <w:sz w:val="22"/>
          <w:szCs w:val="22"/>
        </w:rPr>
        <w:t>, with or without a history of frequent exacerbations (strong recommendation, moderate quality of evidence).</w:t>
      </w:r>
    </w:p>
    <w:p w:rsidR="0049013E" w:rsidRPr="00AC33C7" w:rsidRDefault="0049013E" w:rsidP="0049013E">
      <w:pPr>
        <w:pStyle w:val="PargrafodaLista"/>
        <w:numPr>
          <w:ilvl w:val="1"/>
          <w:numId w:val="1"/>
        </w:numPr>
        <w:tabs>
          <w:tab w:val="left" w:pos="3760"/>
        </w:tabs>
        <w:spacing w:before="5" w:line="254" w:lineRule="auto"/>
        <w:ind w:left="239" w:right="735"/>
        <w:rPr>
          <w:rFonts w:asciiTheme="minorHAnsi" w:hAnsiTheme="minorHAnsi"/>
        </w:rPr>
      </w:pPr>
      <w:r w:rsidRPr="00AC33C7">
        <w:rPr>
          <w:rFonts w:asciiTheme="minorHAnsi" w:hAnsiTheme="minorHAnsi"/>
          <w:color w:val="231F20"/>
        </w:rPr>
        <w:t>If ICS are withdrawn, patients should be treated with one or two LABDs (strong recommendation, moderate quality of</w:t>
      </w:r>
      <w:r w:rsidRPr="00AC33C7">
        <w:rPr>
          <w:rFonts w:asciiTheme="minorHAnsi" w:hAnsiTheme="minorHAnsi"/>
          <w:color w:val="231F20"/>
          <w:spacing w:val="20"/>
        </w:rPr>
        <w:t xml:space="preserve"> </w:t>
      </w:r>
      <w:r w:rsidRPr="00AC33C7">
        <w:rPr>
          <w:rFonts w:asciiTheme="minorHAnsi" w:hAnsiTheme="minorHAnsi"/>
          <w:color w:val="231F20"/>
        </w:rPr>
        <w:t>evidence).</w:t>
      </w:r>
    </w:p>
    <w:p w:rsidR="00AC33C7" w:rsidRDefault="00AC33C7" w:rsidP="0049013E">
      <w:pPr>
        <w:pStyle w:val="Corpodetexto"/>
        <w:spacing w:before="100" w:line="254" w:lineRule="auto"/>
        <w:ind w:right="735"/>
        <w:jc w:val="both"/>
        <w:rPr>
          <w:rFonts w:asciiTheme="minorHAnsi" w:hAnsiTheme="minorHAnsi"/>
          <w:color w:val="231F20"/>
          <w:sz w:val="22"/>
          <w:szCs w:val="22"/>
        </w:rPr>
      </w:pPr>
    </w:p>
    <w:p w:rsidR="0049013E" w:rsidRPr="00AC33C7" w:rsidRDefault="0049013E" w:rsidP="0049013E">
      <w:pPr>
        <w:pStyle w:val="Corpodetexto"/>
        <w:spacing w:before="100" w:line="254" w:lineRule="auto"/>
        <w:ind w:right="735"/>
        <w:jc w:val="both"/>
        <w:rPr>
          <w:rFonts w:asciiTheme="minorHAnsi" w:hAnsiTheme="minorHAnsi"/>
          <w:sz w:val="22"/>
          <w:szCs w:val="22"/>
        </w:rPr>
      </w:pPr>
      <w:r w:rsidRPr="00AC33C7">
        <w:rPr>
          <w:rFonts w:asciiTheme="minorHAnsi" w:hAnsiTheme="minorHAnsi"/>
          <w:color w:val="231F20"/>
          <w:sz w:val="22"/>
          <w:szCs w:val="22"/>
        </w:rPr>
        <w:t>For patients with COPD and a history of frequent exacerbations but &lt;300 eosinophils·µL</w:t>
      </w:r>
      <w:r w:rsidRPr="00AC33C7">
        <w:rPr>
          <w:rFonts w:asciiTheme="minorHAnsi" w:hAnsiTheme="minorHAnsi"/>
          <w:color w:val="231F20"/>
          <w:sz w:val="22"/>
          <w:szCs w:val="22"/>
          <w:vertAlign w:val="superscript"/>
        </w:rPr>
        <w:t>−1</w:t>
      </w:r>
      <w:r w:rsidRPr="00AC33C7">
        <w:rPr>
          <w:rFonts w:asciiTheme="minorHAnsi" w:hAnsiTheme="minorHAnsi"/>
          <w:color w:val="231F20"/>
          <w:sz w:val="22"/>
          <w:szCs w:val="22"/>
        </w:rPr>
        <w:t>, no recommendation can be formulated due to a lack of evidence. Note that patients without a history of frequent exacerbations are those with no more than one moderate exacerbation in the previous year.</w:t>
      </w:r>
    </w:p>
    <w:p w:rsidR="0049013E" w:rsidRPr="00AC33C7" w:rsidRDefault="0049013E" w:rsidP="0049013E">
      <w:pPr>
        <w:pStyle w:val="Corpodetexto"/>
        <w:spacing w:before="103" w:line="254" w:lineRule="auto"/>
        <w:ind w:right="734"/>
        <w:jc w:val="both"/>
        <w:rPr>
          <w:rFonts w:asciiTheme="minorHAnsi" w:hAnsiTheme="minorHAnsi"/>
          <w:sz w:val="22"/>
          <w:szCs w:val="22"/>
        </w:rPr>
      </w:pPr>
      <w:r w:rsidRPr="00AC33C7">
        <w:rPr>
          <w:rFonts w:asciiTheme="minorHAnsi" w:hAnsiTheme="minorHAnsi"/>
          <w:color w:val="231F20"/>
          <w:sz w:val="22"/>
          <w:szCs w:val="22"/>
        </w:rPr>
        <w:t>Our literature search found that three studies stopped ICS abruptly while one study withdrew gradually. The absence of meaningful differences in outcomes between these studies suggests that ICS can be abruptly withdrawn in the majority of</w:t>
      </w:r>
      <w:r w:rsidRPr="00AC33C7">
        <w:rPr>
          <w:rFonts w:asciiTheme="minorHAnsi" w:hAnsiTheme="minorHAnsi"/>
          <w:color w:val="231F20"/>
          <w:spacing w:val="2"/>
          <w:sz w:val="22"/>
          <w:szCs w:val="22"/>
        </w:rPr>
        <w:t xml:space="preserve"> </w:t>
      </w:r>
      <w:r w:rsidRPr="00AC33C7">
        <w:rPr>
          <w:rFonts w:asciiTheme="minorHAnsi" w:hAnsiTheme="minorHAnsi"/>
          <w:color w:val="231F20"/>
          <w:sz w:val="22"/>
          <w:szCs w:val="22"/>
        </w:rPr>
        <w:t>cases.</w:t>
      </w:r>
    </w:p>
    <w:p w:rsidR="0049013E" w:rsidRPr="00AC33C7" w:rsidRDefault="0049013E" w:rsidP="0049013E">
      <w:pPr>
        <w:pStyle w:val="Corpodetexto"/>
        <w:spacing w:before="4"/>
        <w:rPr>
          <w:rFonts w:asciiTheme="minorHAnsi" w:hAnsiTheme="minorHAnsi"/>
          <w:b/>
          <w:bCs/>
          <w:sz w:val="22"/>
          <w:szCs w:val="22"/>
        </w:rPr>
      </w:pPr>
    </w:p>
    <w:p w:rsidR="0049013E" w:rsidRPr="00AC33C7" w:rsidRDefault="0049013E" w:rsidP="0049013E">
      <w:pPr>
        <w:rPr>
          <w:b/>
          <w:bCs/>
          <w:i/>
          <w:lang w:val="en-US"/>
        </w:rPr>
      </w:pPr>
      <w:r w:rsidRPr="00AC33C7">
        <w:rPr>
          <w:b/>
          <w:bCs/>
          <w:i/>
          <w:lang w:val="en-US"/>
        </w:rPr>
        <w:t>Good practice point</w:t>
      </w:r>
    </w:p>
    <w:p w:rsidR="0049013E" w:rsidRPr="00521BC6" w:rsidRDefault="0049013E" w:rsidP="0049013E">
      <w:pPr>
        <w:pStyle w:val="Corpodetexto"/>
        <w:spacing w:before="12" w:line="254" w:lineRule="auto"/>
        <w:ind w:right="735"/>
        <w:jc w:val="both"/>
        <w:rPr>
          <w:rFonts w:asciiTheme="minorHAnsi" w:hAnsiTheme="minorHAnsi"/>
          <w:color w:val="231F20"/>
          <w:sz w:val="22"/>
          <w:szCs w:val="22"/>
          <w:lang w:val="pt-BR"/>
        </w:rPr>
      </w:pPr>
      <w:r w:rsidRPr="00AC33C7">
        <w:rPr>
          <w:rFonts w:asciiTheme="minorHAnsi" w:hAnsiTheme="minorHAnsi"/>
          <w:color w:val="231F20"/>
          <w:sz w:val="22"/>
          <w:szCs w:val="22"/>
        </w:rPr>
        <w:t xml:space="preserve">Monitoring of exacerbation frequency, symptoms and lung function is recommended following ICS withdrawal. Some patients may deteriorate following any change in treatment, including ICS withdrawal. </w:t>
      </w:r>
      <w:r w:rsidRPr="00521BC6">
        <w:rPr>
          <w:rFonts w:asciiTheme="minorHAnsi" w:hAnsiTheme="minorHAnsi"/>
          <w:color w:val="231F20"/>
          <w:sz w:val="22"/>
          <w:szCs w:val="22"/>
          <w:lang w:val="pt-BR"/>
        </w:rPr>
        <w:t>Therefore, ongoing monitoring is appropriate.</w:t>
      </w:r>
    </w:p>
    <w:p w:rsidR="00E154F8" w:rsidRPr="00E154F8" w:rsidRDefault="00E154F8" w:rsidP="00E154F8">
      <w:pPr>
        <w:rPr>
          <w:b/>
          <w:bCs/>
        </w:rPr>
      </w:pPr>
      <w:r w:rsidRPr="00E154F8">
        <w:rPr>
          <w:b/>
          <w:bCs/>
        </w:rPr>
        <w:lastRenderedPageBreak/>
        <w:t xml:space="preserve">Retirada de corticosteroides inalados na DPOC: uma diretriz da </w:t>
      </w:r>
      <w:r w:rsidRPr="00E154F8">
        <w:rPr>
          <w:b/>
          <w:bCs/>
          <w:i/>
          <w:iCs/>
        </w:rPr>
        <w:t>European Respiratory Society</w:t>
      </w:r>
    </w:p>
    <w:p w:rsidR="00E154F8" w:rsidRPr="00521BC6" w:rsidRDefault="00E154F8" w:rsidP="00E154F8">
      <w:r w:rsidRPr="00521BC6">
        <w:t>James D. Chalmers1,14,15, Irena F. Laska 1,15, Frits M.E. Franssen 2,3, Wim Janssens 4 , Ian Pavord5 , David Rigau6 , Melissa J. McDonnell 7 , Nicolas Roche8 , Don D. Sin9 , Daiana Stolz10, Samy Suissa11, Jadwiga Wedzicha12 and Marc Miravitlles 13,14,15</w:t>
      </w:r>
    </w:p>
    <w:p w:rsidR="00E154F8" w:rsidRPr="00521BC6" w:rsidRDefault="00E154F8" w:rsidP="00E154F8">
      <w:r w:rsidRPr="00521BC6">
        <w:t>Eur Respir J 2020; 55: 2000351 [https://doi.org/10.1183/ 13993003.00351-2020]</w:t>
      </w:r>
    </w:p>
    <w:p w:rsidR="00AC33C7" w:rsidRPr="00521BC6" w:rsidRDefault="00AC33C7" w:rsidP="0049013E">
      <w:pPr>
        <w:pStyle w:val="Corpodetexto"/>
        <w:spacing w:before="12" w:line="254" w:lineRule="auto"/>
        <w:ind w:right="735"/>
        <w:jc w:val="both"/>
        <w:rPr>
          <w:rFonts w:asciiTheme="minorHAnsi" w:hAnsiTheme="minorHAnsi"/>
          <w:color w:val="231F20"/>
          <w:sz w:val="22"/>
          <w:szCs w:val="22"/>
          <w:lang w:val="pt-BR"/>
        </w:rPr>
      </w:pPr>
    </w:p>
    <w:p w:rsidR="00E154F8" w:rsidRDefault="00E154F8" w:rsidP="0049013E">
      <w:pPr>
        <w:pStyle w:val="Corpodetexto"/>
        <w:spacing w:before="12" w:line="254" w:lineRule="auto"/>
        <w:ind w:right="735"/>
        <w:jc w:val="both"/>
        <w:rPr>
          <w:rFonts w:asciiTheme="minorHAnsi" w:hAnsiTheme="minorHAnsi"/>
          <w:b/>
          <w:bCs/>
          <w:color w:val="231F20"/>
          <w:sz w:val="22"/>
          <w:szCs w:val="22"/>
          <w:lang w:val="pt-BR"/>
        </w:rPr>
      </w:pPr>
    </w:p>
    <w:p w:rsidR="00AC33C7" w:rsidRPr="00AC33C7" w:rsidRDefault="00AC33C7" w:rsidP="0049013E">
      <w:pPr>
        <w:pStyle w:val="Corpodetexto"/>
        <w:spacing w:before="12" w:line="254" w:lineRule="auto"/>
        <w:ind w:right="735"/>
        <w:jc w:val="both"/>
        <w:rPr>
          <w:rFonts w:asciiTheme="minorHAnsi" w:hAnsiTheme="minorHAnsi"/>
          <w:b/>
          <w:bCs/>
          <w:sz w:val="22"/>
          <w:szCs w:val="22"/>
          <w:lang w:val="pt-BR"/>
        </w:rPr>
      </w:pPr>
      <w:r w:rsidRPr="00AC33C7">
        <w:rPr>
          <w:rFonts w:asciiTheme="minorHAnsi" w:hAnsiTheme="minorHAnsi"/>
          <w:b/>
          <w:bCs/>
          <w:color w:val="231F20"/>
          <w:sz w:val="22"/>
          <w:szCs w:val="22"/>
          <w:lang w:val="pt-BR"/>
        </w:rPr>
        <w:t>RESUMO</w:t>
      </w:r>
    </w:p>
    <w:p w:rsidR="0049013E" w:rsidRPr="00AC33C7" w:rsidRDefault="0049013E" w:rsidP="0049013E">
      <w:pPr>
        <w:spacing w:line="220" w:lineRule="auto"/>
        <w:ind w:left="-3520" w:right="733"/>
        <w:jc w:val="both"/>
        <w:rPr>
          <w:rFonts w:ascii="Verdana" w:hAnsi="Verdana"/>
          <w:sz w:val="16"/>
        </w:rPr>
      </w:pPr>
    </w:p>
    <w:p w:rsidR="00AC33C7" w:rsidRDefault="00AC33C7">
      <w:r w:rsidRPr="00AC33C7">
        <w:t>Corticoster</w:t>
      </w:r>
      <w:r>
        <w:t>o</w:t>
      </w:r>
      <w:r w:rsidRPr="00AC33C7">
        <w:t xml:space="preserve">ides inalados (CI) combinados com broncodilatadores podem reduzir a frequência de exacerbações em alguns pacientes com doença pulmonar obstrutiva crônica (DPOC). Há evidências, no entanto, de que os CI são frequentemente usados ​​em pacientes nos quais seu benefício não foi estabelecido. Portanto, </w:t>
      </w:r>
      <w:r w:rsidR="00521BC6">
        <w:t xml:space="preserve">existe a </w:t>
      </w:r>
      <w:r w:rsidRPr="00AC33C7">
        <w:t xml:space="preserve">necessidade de uma abordagem personalizada para o uso de CI na DPOC e </w:t>
      </w:r>
      <w:r w:rsidR="00521BC6">
        <w:t xml:space="preserve">sobre como </w:t>
      </w:r>
      <w:r w:rsidRPr="00AC33C7">
        <w:t xml:space="preserve">considerar a retirada do CI em pacientes sem uma indicação clara. </w:t>
      </w:r>
    </w:p>
    <w:p w:rsidR="00AC33C7" w:rsidRDefault="00AC33C7">
      <w:r w:rsidRPr="00AC33C7">
        <w:t xml:space="preserve">Este documento relata as recomendações da </w:t>
      </w:r>
      <w:r w:rsidRPr="00AC33C7">
        <w:rPr>
          <w:i/>
          <w:iCs/>
        </w:rPr>
        <w:t>European Respiratory Society</w:t>
      </w:r>
      <w:r w:rsidRPr="00AC33C7">
        <w:t xml:space="preserve"> </w:t>
      </w:r>
      <w:r>
        <w:t xml:space="preserve">(ERS) </w:t>
      </w:r>
      <w:r w:rsidRPr="00AC33C7">
        <w:t xml:space="preserve">em relação à retirada do CI em pacientes com DPOC. A síntese abrangente da evidência foi realizada para resumir todas as evidências disponíveis relevantes para a questão: o </w:t>
      </w:r>
      <w:r>
        <w:t>CI</w:t>
      </w:r>
      <w:r w:rsidRPr="00AC33C7">
        <w:t xml:space="preserve"> deve ser suspenso em pacientes com DPOC? A evidência foi avaliada usando a abordagem </w:t>
      </w:r>
      <w:r w:rsidRPr="00521BC6">
        <w:rPr>
          <w:i/>
          <w:iCs/>
        </w:rPr>
        <w:t>GRADE</w:t>
      </w:r>
      <w:r w:rsidRPr="00AC33C7">
        <w:t xml:space="preserve"> (Classificação de Recomendações, Avaliação, Desenvolvimento e Avaliação) e os resultados foram resumidos em perfis de evidência. A síntese das evidências foi discutida e as recomendações formuladas por um comitê com experiência em DPOC e metodologia de diretrizes. </w:t>
      </w:r>
    </w:p>
    <w:p w:rsidR="00AC33C7" w:rsidRDefault="00AC33C7">
      <w:r w:rsidRPr="00AC33C7">
        <w:t xml:space="preserve">Depois de considerar o equilíbrio entre as consequências desejáveis ​​e indesejáveis, a qualidade da evidência e a viabilidade e aceitabilidade das intervenções, o painel de diretrizes </w:t>
      </w:r>
      <w:r w:rsidR="00521BC6">
        <w:t>considerou</w:t>
      </w:r>
      <w:r w:rsidRPr="00AC33C7">
        <w:t xml:space="preserve">: </w:t>
      </w:r>
    </w:p>
    <w:p w:rsidR="00AC33C7" w:rsidRDefault="00AC33C7" w:rsidP="00AC33C7">
      <w:pPr>
        <w:ind w:left="708"/>
      </w:pPr>
      <w:r w:rsidRPr="00AC33C7">
        <w:t xml:space="preserve">1) </w:t>
      </w:r>
      <w:r w:rsidRPr="00AC33C7">
        <w:rPr>
          <w:b/>
          <w:bCs/>
        </w:rPr>
        <w:t>recomendação condicional</w:t>
      </w:r>
      <w:r w:rsidRPr="00AC33C7">
        <w:t xml:space="preserve"> para a retirada d</w:t>
      </w:r>
      <w:r>
        <w:t>o CI</w:t>
      </w:r>
      <w:r w:rsidRPr="00AC33C7">
        <w:t xml:space="preserve"> em pacientes com DPOC sem história de exacerbações frequentes</w:t>
      </w:r>
      <w:r>
        <w:t>;</w:t>
      </w:r>
    </w:p>
    <w:p w:rsidR="00AC33C7" w:rsidRDefault="00AC33C7" w:rsidP="00AC33C7">
      <w:pPr>
        <w:ind w:left="708"/>
      </w:pPr>
      <w:r w:rsidRPr="00AC33C7">
        <w:t xml:space="preserve"> 2) </w:t>
      </w:r>
      <w:r w:rsidRPr="00AC33C7">
        <w:rPr>
          <w:b/>
          <w:bCs/>
        </w:rPr>
        <w:t>recomendação forte</w:t>
      </w:r>
      <w:r w:rsidRPr="00AC33C7">
        <w:t xml:space="preserve"> </w:t>
      </w:r>
      <w:r w:rsidR="00521BC6">
        <w:t xml:space="preserve">para </w:t>
      </w:r>
      <w:r w:rsidRPr="00AC33C7">
        <w:t xml:space="preserve">não retirar o CI em pacientes com eosinófilos no sangue </w:t>
      </w:r>
      <w:r w:rsidRPr="00AC33C7">
        <w:rPr>
          <w:rFonts w:ascii="Cambria Math" w:hAnsi="Cambria Math" w:cs="Cambria Math"/>
          <w:lang w:val="en-US"/>
        </w:rPr>
        <w:t>⩾</w:t>
      </w:r>
      <w:r w:rsidRPr="00AC33C7">
        <w:t xml:space="preserve">300 eosinófilos </w:t>
      </w:r>
    </w:p>
    <w:p w:rsidR="00AC33C7" w:rsidRDefault="00AC33C7" w:rsidP="00AC33C7">
      <w:pPr>
        <w:ind w:left="708"/>
      </w:pPr>
      <w:r w:rsidRPr="00AC33C7">
        <w:t xml:space="preserve">3) </w:t>
      </w:r>
      <w:r w:rsidRPr="00E154F8">
        <w:rPr>
          <w:b/>
          <w:bCs/>
        </w:rPr>
        <w:t>recomendação forte</w:t>
      </w:r>
      <w:r w:rsidRPr="00E154F8">
        <w:t xml:space="preserve"> para tratar com um ou dois broncodilatadores de longa ação se o CI for suspenso.</w:t>
      </w:r>
      <w:r w:rsidRPr="00AC33C7">
        <w:t xml:space="preserve"> </w:t>
      </w:r>
    </w:p>
    <w:p w:rsidR="0049013E" w:rsidRDefault="00AC33C7" w:rsidP="00AC33C7">
      <w:r w:rsidRPr="00AC33C7">
        <w:t>Uma recomendação condicional indica que houve incerteza sobre o equilíbrio das consequências desejáveis ​​e indesejáveis ​​da intervenção e que pacientes bem informados podem fazer escolhas diferentes quanto a ter ou não a intervenção específica.</w:t>
      </w:r>
    </w:p>
    <w:p w:rsidR="00AC17DE" w:rsidRDefault="00AC17DE" w:rsidP="00AC33C7"/>
    <w:p w:rsidR="00AC17DE" w:rsidRPr="00AC17DE" w:rsidRDefault="00AC17DE" w:rsidP="00AC17DE">
      <w:pPr>
        <w:rPr>
          <w:b/>
          <w:bCs/>
        </w:rPr>
      </w:pPr>
      <w:r w:rsidRPr="00AC17DE">
        <w:rPr>
          <w:b/>
          <w:bCs/>
        </w:rPr>
        <w:t>O CI deve ser suspenso em pacientes com DPOC?</w:t>
      </w:r>
    </w:p>
    <w:p w:rsidR="00AC17DE" w:rsidRDefault="00AC17DE" w:rsidP="00AC17DE">
      <w:r>
        <w:t>Os pacientes tratados com CI devem ser avaliados registrando a frequência de exacerbações e hospitalizações junto com a medida dos eosinófilos no sangue</w:t>
      </w:r>
      <w:r w:rsidR="00521BC6">
        <w:t>,</w:t>
      </w:r>
      <w:r>
        <w:t xml:space="preserve"> para auxiliar na tomada de decisão com as seguintes recomendações resumidas na </w:t>
      </w:r>
      <w:r w:rsidRPr="00AC17DE">
        <w:t>figura abaixo</w:t>
      </w:r>
      <w:r>
        <w:t xml:space="preserve">: </w:t>
      </w:r>
    </w:p>
    <w:p w:rsidR="002E1F90" w:rsidRDefault="002E1F90" w:rsidP="00AC17DE"/>
    <w:p w:rsidR="002E1F90" w:rsidRDefault="002E1F90" w:rsidP="00AC17DE"/>
    <w:p w:rsidR="002E1F90" w:rsidRDefault="002E1F90" w:rsidP="00AC17DE"/>
    <w:p w:rsidR="002E1F90" w:rsidRDefault="002E1F90" w:rsidP="00AC17DE">
      <w:r>
        <w:rPr>
          <w:noProof/>
          <w:lang w:eastAsia="pt-BR"/>
        </w:rPr>
        <mc:AlternateContent>
          <mc:Choice Requires="wps">
            <w:drawing>
              <wp:anchor distT="0" distB="0" distL="114300" distR="114300" simplePos="0" relativeHeight="251672576" behindDoc="0" locked="0" layoutInCell="1" allowOverlap="1" wp14:anchorId="3B91906B" wp14:editId="5A5E2BAA">
                <wp:simplePos x="0" y="0"/>
                <wp:positionH relativeFrom="column">
                  <wp:posOffset>996315</wp:posOffset>
                </wp:positionH>
                <wp:positionV relativeFrom="paragraph">
                  <wp:posOffset>2062480</wp:posOffset>
                </wp:positionV>
                <wp:extent cx="952500" cy="400050"/>
                <wp:effectExtent l="0" t="0" r="19050" b="19050"/>
                <wp:wrapNone/>
                <wp:docPr id="11" name="Caixa de Texto 11"/>
                <wp:cNvGraphicFramePr/>
                <a:graphic xmlns:a="http://schemas.openxmlformats.org/drawingml/2006/main">
                  <a:graphicData uri="http://schemas.microsoft.com/office/word/2010/wordprocessingShape">
                    <wps:wsp>
                      <wps:cNvSpPr txBox="1"/>
                      <wps:spPr>
                        <a:xfrm>
                          <a:off x="0" y="0"/>
                          <a:ext cx="952500" cy="400050"/>
                        </a:xfrm>
                        <a:prstGeom prst="rect">
                          <a:avLst/>
                        </a:prstGeom>
                        <a:solidFill>
                          <a:schemeClr val="lt1"/>
                        </a:solidFill>
                        <a:ln w="6350">
                          <a:solidFill>
                            <a:prstClr val="black"/>
                          </a:solidFill>
                        </a:ln>
                      </wps:spPr>
                      <wps:txbx>
                        <w:txbxContent>
                          <w:p w:rsidR="002E1F90" w:rsidRPr="002E1F90" w:rsidRDefault="002E1F90" w:rsidP="00E00E10">
                            <w:pPr>
                              <w:spacing w:line="240" w:lineRule="auto"/>
                              <w:rPr>
                                <w:sz w:val="20"/>
                                <w:szCs w:val="20"/>
                              </w:rPr>
                            </w:pPr>
                            <w:r>
                              <w:rPr>
                                <w:sz w:val="20"/>
                                <w:szCs w:val="20"/>
                              </w:rPr>
                              <w:t>Eosinófilos</w:t>
                            </w:r>
                            <w:r w:rsidR="00E00E10">
                              <w:rPr>
                                <w:sz w:val="20"/>
                                <w:szCs w:val="20"/>
                              </w:rPr>
                              <w:t xml:space="preserve"> no sangue </w:t>
                            </w:r>
                            <w:r>
                              <w:rPr>
                                <w:sz w:val="20"/>
                                <w:szCs w:val="20"/>
                              </w:rPr>
                              <w:t>&lt; 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91906B" id="_x0000_t202" coordsize="21600,21600" o:spt="202" path="m,l,21600r21600,l21600,xe">
                <v:stroke joinstyle="miter"/>
                <v:path gradientshapeok="t" o:connecttype="rect"/>
              </v:shapetype>
              <v:shape id="Caixa de Texto 11" o:spid="_x0000_s1026" type="#_x0000_t202" style="position:absolute;margin-left:78.45pt;margin-top:162.4pt;width:7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MCTQIAAKgEAAAOAAAAZHJzL2Uyb0RvYy54bWysVMlu2zAQvRfoPxC8N5JdO02MyIHrwEWB&#10;IAmQFDnTFBUTpTgsSVtyv76P9JKtp6IXajY+zryZ0cVl3xq2UT5oshUfnJScKSup1vap4j8eFp/O&#10;OAtR2FoYsqriWxX45fTjh4vOTdSQVmRq5RlAbJh0ruKrGN2kKIJcqVaEE3LKwtmQb0WE6p+K2osO&#10;6K0phmV5WnTka+dJqhBgvdo5+TTjN42S8bZpgorMVBy5xXz6fC7TWUwvxOTJC7fScp+G+IcsWqEt&#10;Hj1CXYko2Nrrd1Ctlp4CNfFEUltQ02ipcg2oZlC+qeZ+JZzKtYCc4I40hf8HK282d57pGr0bcGZF&#10;ix7Nhe4FqxV7UH0kBgdY6lyYIPjeITz2X6nHjYM9wJiK7xvfpi/KYvCD7+2RY0AxCeP5eDgu4ZFw&#10;jcqyHOceFM+XnQ/xm6KWJaHiHi3MzIrNdYhIBKGHkPRWIKPrhTYmK2ls1Nx4thFouIk5Rdx4FWUs&#10;6yp++hlPv0NI0Mf7SyPkz1TkawRoxsKYKNmVnqTYL/s9T0uqt6DJ027cgpMLDdxrEeKd8Jgv1I+d&#10;ibc4GkNIhvYSZyvyv/9mT/FoO7ycdZjXiodfa+EVZ+a7xUCcD0ajNOBZGY2/DKH4l57lS49dt3MC&#10;Q+g5sstiio/mIDae2kes1iy9CpewEm9XPB7EedxtEVZTqtksB2GknYjX9t7JBJ3ITXw+9I/Cu30/&#10;Iwbhhg6TLSZv2rqLTTctzdaRGp17ngjesbrnHeuQ27Jf3bRvL/Uc9fyDmf4BAAD//wMAUEsDBBQA&#10;BgAIAAAAIQAtg+C53QAAAAsBAAAPAAAAZHJzL2Rvd25yZXYueG1sTI/BTsMwEETvSPyDtUjcqEML&#10;xQ1xKkCFS08UxNmNt7ZFbEe2m4a/Z3uC287uaPZNs558z0ZM2cUg4XZWAcPQRe2CkfD58XojgOWi&#10;glZ9DCjhBzOs28uLRtU6nsI7jrtiGIWEXCsJtpSh5jx3Fr3KszhgoNshJq8KyWS4TupE4b7n86pa&#10;cq9coA9WDfhisfveHb2EzbNZmU6oZDdCOzdOX4eteZPy+mp6egRWcCp/ZjjjEzq0xLSPx6Az60nf&#10;L1dklbCY31EHciyq82ZPg3gQwNuG/+/Q/gIAAP//AwBQSwECLQAUAAYACAAAACEAtoM4kv4AAADh&#10;AQAAEwAAAAAAAAAAAAAAAAAAAAAAW0NvbnRlbnRfVHlwZXNdLnhtbFBLAQItABQABgAIAAAAIQA4&#10;/SH/1gAAAJQBAAALAAAAAAAAAAAAAAAAAC8BAABfcmVscy8ucmVsc1BLAQItABQABgAIAAAAIQCs&#10;CxMCTQIAAKgEAAAOAAAAAAAAAAAAAAAAAC4CAABkcnMvZTJvRG9jLnhtbFBLAQItABQABgAIAAAA&#10;IQAtg+C53QAAAAsBAAAPAAAAAAAAAAAAAAAAAKcEAABkcnMvZG93bnJldi54bWxQSwUGAAAAAAQA&#10;BADzAAAAsQUAAAAA&#10;" fillcolor="white [3201]" strokeweight=".5pt">
                <v:textbox>
                  <w:txbxContent>
                    <w:p w:rsidR="002E1F90" w:rsidRPr="002E1F90" w:rsidRDefault="002E1F90" w:rsidP="00E00E10">
                      <w:pPr>
                        <w:spacing w:line="240" w:lineRule="auto"/>
                        <w:rPr>
                          <w:sz w:val="20"/>
                          <w:szCs w:val="20"/>
                        </w:rPr>
                      </w:pPr>
                      <w:r>
                        <w:rPr>
                          <w:sz w:val="20"/>
                          <w:szCs w:val="20"/>
                        </w:rPr>
                        <w:t>Eosinófilos</w:t>
                      </w:r>
                      <w:r w:rsidR="00E00E10">
                        <w:rPr>
                          <w:sz w:val="20"/>
                          <w:szCs w:val="20"/>
                        </w:rPr>
                        <w:t xml:space="preserve"> no sangue </w:t>
                      </w:r>
                      <w:r>
                        <w:rPr>
                          <w:sz w:val="20"/>
                          <w:szCs w:val="20"/>
                        </w:rPr>
                        <w:t>&lt; 300</w:t>
                      </w:r>
                    </w:p>
                  </w:txbxContent>
                </v:textbox>
              </v:shape>
            </w:pict>
          </mc:Fallback>
        </mc:AlternateContent>
      </w:r>
      <w:r>
        <w:rPr>
          <w:noProof/>
          <w:lang w:eastAsia="pt-BR"/>
        </w:rPr>
        <mc:AlternateContent>
          <mc:Choice Requires="wps">
            <w:drawing>
              <wp:anchor distT="0" distB="0" distL="114300" distR="114300" simplePos="0" relativeHeight="251670528" behindDoc="0" locked="0" layoutInCell="1" allowOverlap="1" wp14:anchorId="3A9CB422" wp14:editId="28B75A04">
                <wp:simplePos x="0" y="0"/>
                <wp:positionH relativeFrom="column">
                  <wp:posOffset>1586865</wp:posOffset>
                </wp:positionH>
                <wp:positionV relativeFrom="paragraph">
                  <wp:posOffset>424180</wp:posOffset>
                </wp:positionV>
                <wp:extent cx="952500" cy="400050"/>
                <wp:effectExtent l="0" t="0" r="19050" b="19050"/>
                <wp:wrapNone/>
                <wp:docPr id="10" name="Caixa de Texto 10"/>
                <wp:cNvGraphicFramePr/>
                <a:graphic xmlns:a="http://schemas.openxmlformats.org/drawingml/2006/main">
                  <a:graphicData uri="http://schemas.microsoft.com/office/word/2010/wordprocessingShape">
                    <wps:wsp>
                      <wps:cNvSpPr txBox="1"/>
                      <wps:spPr>
                        <a:xfrm>
                          <a:off x="0" y="0"/>
                          <a:ext cx="952500" cy="400050"/>
                        </a:xfrm>
                        <a:prstGeom prst="rect">
                          <a:avLst/>
                        </a:prstGeom>
                        <a:solidFill>
                          <a:schemeClr val="lt1"/>
                        </a:solidFill>
                        <a:ln w="6350">
                          <a:solidFill>
                            <a:prstClr val="black"/>
                          </a:solidFill>
                        </a:ln>
                      </wps:spPr>
                      <wps:txbx>
                        <w:txbxContent>
                          <w:p w:rsidR="002E1F90" w:rsidRPr="002E1F90" w:rsidRDefault="002E1F90" w:rsidP="00E00E10">
                            <w:pPr>
                              <w:spacing w:line="240" w:lineRule="auto"/>
                              <w:rPr>
                                <w:sz w:val="20"/>
                                <w:szCs w:val="20"/>
                              </w:rPr>
                            </w:pPr>
                            <w:r>
                              <w:rPr>
                                <w:sz w:val="20"/>
                                <w:szCs w:val="20"/>
                              </w:rPr>
                              <w:t>Eosinófilos</w:t>
                            </w:r>
                            <w:r w:rsidR="00E00E10">
                              <w:rPr>
                                <w:sz w:val="20"/>
                                <w:szCs w:val="20"/>
                              </w:rPr>
                              <w:t xml:space="preserve"> no sangue</w:t>
                            </w:r>
                            <w:r>
                              <w:rPr>
                                <w:sz w:val="20"/>
                                <w:szCs w:val="20"/>
                              </w:rPr>
                              <w:t xml:space="preserve"> ≥ 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CB422" id="Caixa de Texto 10" o:spid="_x0000_s1027" type="#_x0000_t202" style="position:absolute;margin-left:124.95pt;margin-top:33.4pt;width:7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nOTwIAAK8EAAAOAAAAZHJzL2Uyb0RvYy54bWysVMtu2zAQvBfoPxC8N5JdO02MyIHrIEWB&#10;IAmQFDnTFBUTpbgsSVtKv75DynZePRW9UPvicHd2V2fnfWvYVvmgyVZ8dFRypqykWtvHiv+4v/x0&#10;wlmIwtbCkFUVf1KBn88/fjjr3EyNaU2mVp4BxIZZ5yq+jtHNiiLItWpFOCKnLJwN+VZEqP6xqL3o&#10;gN6aYlyWx0VHvnaepAoB1ovByecZv2mUjDdNE1RkpuLILebT53OVzmJ+JmaPXri1lrs0xD9k0Qpt&#10;8egB6kJEwTZev4NqtfQUqIlHktqCmkZLlWtANaPyTTV3a+FUrgXkBHegKfw/WHm9vfVM1+gd6LGi&#10;RY+WQveC1Yrdqz4SgwMsdS7MEHznEB77r9Tjxt4eYEzF941v0xdlMfgB+HTgGFBMwng6HU9LeCRc&#10;k7Ispxm9eL7sfIjfFLUsCRX3aGFmVmyvQkQiCN2HpLcCGV1famOyksZGLY1nW4GGm5hTxI1XUcay&#10;ruLHn/H0O4QEfbi/MkL+TEW+RoBmLIyJkqH0JMV+1Q9E7mlZUf0EtjwNUxecvNSAvxIh3gqPMQMN&#10;WJ14g6MxhJxoJ3G2Jv/7b/YUj+7Dy1mHsa14+LURXnFmvlvMxeloMgFszMpk+mUMxb/0rF567KZd&#10;EogaYUmdzGKKj2YvNp7aB2zYIr0Kl7ASb1c87sVlHJYJGyrVYpGDMNlOxCt752SCThwnWu/7B+Hd&#10;rq0R83BN+wEXszfdHWLTTUuLTaRG59YnngdWd/RjK3J3dhuc1u6lnqOe/zPzPwAAAP//AwBQSwME&#10;FAAGAAgAAAAhAInHF8jcAAAACgEAAA8AAABkcnMvZG93bnJldi54bWxMj8FOwzAMhu9IvENkJG4s&#10;XUFVU5pOgAYXTgzE2WuyJFqTVE3WlbfHO8HR9qff399uFj+wWU/JxSBhvSqA6dBH5YKR8PX5elcD&#10;SxmDwiEGLeFHJ9h011ctNiqew4eed9kwCgmpQQk257HhPPVWe0yrOOpAt0OcPGYaJ8PVhGcK9wMv&#10;i6LiHl2gDxZH/WJ1f9ydvITtsxGmr3Gy21o5Ny/fh3fzJuXtzfL0CCzrJf/BcNEndejIaR9PQSU2&#10;SCgfhCBUQlVRBQLuxWWxJ7IUNfCu5f8rdL8AAAD//wMAUEsBAi0AFAAGAAgAAAAhALaDOJL+AAAA&#10;4QEAABMAAAAAAAAAAAAAAAAAAAAAAFtDb250ZW50X1R5cGVzXS54bWxQSwECLQAUAAYACAAAACEA&#10;OP0h/9YAAACUAQAACwAAAAAAAAAAAAAAAAAvAQAAX3JlbHMvLnJlbHNQSwECLQAUAAYACAAAACEA&#10;DnfZzk8CAACvBAAADgAAAAAAAAAAAAAAAAAuAgAAZHJzL2Uyb0RvYy54bWxQSwECLQAUAAYACAAA&#10;ACEAiccXyNwAAAAKAQAADwAAAAAAAAAAAAAAAACpBAAAZHJzL2Rvd25yZXYueG1sUEsFBgAAAAAE&#10;AAQA8wAAALIFAAAAAA==&#10;" fillcolor="white [3201]" strokeweight=".5pt">
                <v:textbox>
                  <w:txbxContent>
                    <w:p w:rsidR="002E1F90" w:rsidRPr="002E1F90" w:rsidRDefault="002E1F90" w:rsidP="00E00E10">
                      <w:pPr>
                        <w:spacing w:line="240" w:lineRule="auto"/>
                        <w:rPr>
                          <w:sz w:val="20"/>
                          <w:szCs w:val="20"/>
                        </w:rPr>
                      </w:pPr>
                      <w:r>
                        <w:rPr>
                          <w:sz w:val="20"/>
                          <w:szCs w:val="20"/>
                        </w:rPr>
                        <w:t>Eosinófilos</w:t>
                      </w:r>
                      <w:r w:rsidR="00E00E10">
                        <w:rPr>
                          <w:sz w:val="20"/>
                          <w:szCs w:val="20"/>
                        </w:rPr>
                        <w:t xml:space="preserve"> no sangue</w:t>
                      </w:r>
                      <w:r>
                        <w:rPr>
                          <w:sz w:val="20"/>
                          <w:szCs w:val="20"/>
                        </w:rPr>
                        <w:t xml:space="preserve"> ≥ 300</w:t>
                      </w:r>
                    </w:p>
                  </w:txbxContent>
                </v:textbox>
              </v:shape>
            </w:pict>
          </mc:Fallback>
        </mc:AlternateContent>
      </w:r>
      <w:r>
        <w:rPr>
          <w:noProof/>
          <w:lang w:eastAsia="pt-BR"/>
        </w:rPr>
        <mc:AlternateContent>
          <mc:Choice Requires="wps">
            <w:drawing>
              <wp:anchor distT="0" distB="0" distL="114300" distR="114300" simplePos="0" relativeHeight="251668480" behindDoc="0" locked="0" layoutInCell="1" allowOverlap="1" wp14:anchorId="0F254A84" wp14:editId="24A872EF">
                <wp:simplePos x="0" y="0"/>
                <wp:positionH relativeFrom="column">
                  <wp:posOffset>691515</wp:posOffset>
                </wp:positionH>
                <wp:positionV relativeFrom="paragraph">
                  <wp:posOffset>1433830</wp:posOffset>
                </wp:positionV>
                <wp:extent cx="952500" cy="247015"/>
                <wp:effectExtent l="0" t="0" r="19050" b="19685"/>
                <wp:wrapNone/>
                <wp:docPr id="9" name="Caixa de Texto 9"/>
                <wp:cNvGraphicFramePr/>
                <a:graphic xmlns:a="http://schemas.openxmlformats.org/drawingml/2006/main">
                  <a:graphicData uri="http://schemas.microsoft.com/office/word/2010/wordprocessingShape">
                    <wps:wsp>
                      <wps:cNvSpPr txBox="1"/>
                      <wps:spPr>
                        <a:xfrm>
                          <a:off x="0" y="0"/>
                          <a:ext cx="952500" cy="247015"/>
                        </a:xfrm>
                        <a:prstGeom prst="rect">
                          <a:avLst/>
                        </a:prstGeom>
                        <a:solidFill>
                          <a:schemeClr val="lt1"/>
                        </a:solidFill>
                        <a:ln w="6350">
                          <a:solidFill>
                            <a:prstClr val="black"/>
                          </a:solidFill>
                        </a:ln>
                      </wps:spPr>
                      <wps:txbx>
                        <w:txbxContent>
                          <w:p w:rsidR="002E1F90" w:rsidRPr="002E1F90" w:rsidRDefault="002E1F90" w:rsidP="002E1F90">
                            <w:pPr>
                              <w:rPr>
                                <w:sz w:val="20"/>
                                <w:szCs w:val="20"/>
                              </w:rPr>
                            </w:pPr>
                            <w:r>
                              <w:rPr>
                                <w:sz w:val="20"/>
                                <w:szCs w:val="20"/>
                              </w:rPr>
                              <w:t>INFLAMAÇÃO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54A84" id="Caixa de Texto 9" o:spid="_x0000_s1028" type="#_x0000_t202" style="position:absolute;margin-left:54.45pt;margin-top:112.9pt;width:75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lWUwIAAK0EAAAOAAAAZHJzL2Uyb0RvYy54bWysVFFv2jAQfp+0/2D5fSQwaAsiVIyKaRJq&#10;K7VTnw/HAWuOz7MNCfv1OztAabenaS/O2ff58913d5netrVme+m8QlPwfi/nTBqBpTKbgn9/Xn66&#10;4cwHMCVoNLLgB+n57ezjh2ljJ3KAW9SldIxIjJ80tuDbEOwky7zYyhp8D6005KzQ1RBo6zZZ6aAh&#10;9lpngzy/yhp0pXUopPd0etc5+SzxV5UU4aGqvAxMF5xiC2l1aV3HNZtNYbJxYLdKHMOAf4iiBmXo&#10;0TPVHQRgO6f+oKqVcOixCj2BdYZVpYRMOVA2/fxdNk9bsDLlQuJ4e5bJ/z9acb9/dEyVBR9zZqCm&#10;Ei1AtcBKyZ5lG5CNo0aN9ROCPlkCh/YLtlTr07mnw5h6W7k6fikpRn5S+3BWmJiYoMPxaDDKySPI&#10;NRhe5/1RZMleL1vnw1eJNYtGwR0VMOkK+5UPHfQEiW951KpcKq3TJjaNXGjH9kDl1iGFSORvUNqw&#10;puBXn0d5In7ji9Tn+2sN4scxvAsU8WlDMUdJutSjFdp1m2QcnGRZY3kgtRx2PeetWCqiX4EPj+Co&#10;yUgGGpzwQEulkWLCo8XZFt2vv51HPNWevJw11LQF9z934CRn+puhrhj3h8PY5WkzHF0PaOMuPetL&#10;j9nVCySh+jSiViQz4oM+mZXD+oXmax5fJRcYQW8XPJzMRehGieZTyPk8gaivLYSVebIiUsfCRFmf&#10;2xdw9ljWQP1wj6f2hsm76nbYeNPgfBewUqn0UedO1aP8NBOpeY7zG4fucp9Qr3+Z2W8AAAD//wMA&#10;UEsDBBQABgAIAAAAIQAn+H/V2wAAAAsBAAAPAAAAZHJzL2Rvd25yZXYueG1sTE9NT8MwDL0j8R8i&#10;I3FjKRWMrms6ARpcODHQzl7jJRFNUjVZV/495gQn+9lP76PZzL4XE43JxaDgdlGAoNBF7YJR8Pnx&#10;clOBSBmDxj4GUvBNCTbt5UWDtY7n8E7TLhvBIiHVqMDmPNRSps6Sx7SIAwX+HePoMTMcjdQjnlnc&#10;97IsiqX06AI7WBzo2VL3tTt5BdsnszJdhaPdVtq5ad4f38yrUtdX8+MaRKY5/5HhNz5Hh5YzHeIp&#10;6CR6xkW1YqqCsrznDszgyZcDL8u7B5BtI/93aH8AAAD//wMAUEsBAi0AFAAGAAgAAAAhALaDOJL+&#10;AAAA4QEAABMAAAAAAAAAAAAAAAAAAAAAAFtDb250ZW50X1R5cGVzXS54bWxQSwECLQAUAAYACAAA&#10;ACEAOP0h/9YAAACUAQAACwAAAAAAAAAAAAAAAAAvAQAAX3JlbHMvLnJlbHNQSwECLQAUAAYACAAA&#10;ACEAAagpVlMCAACtBAAADgAAAAAAAAAAAAAAAAAuAgAAZHJzL2Uyb0RvYy54bWxQSwECLQAUAAYA&#10;CAAAACEAJ/h/1dsAAAALAQAADwAAAAAAAAAAAAAAAACtBAAAZHJzL2Rvd25yZXYueG1sUEsFBgAA&#10;AAAEAAQA8wAAALUFAAAAAA==&#10;" fillcolor="white [3201]" strokeweight=".5pt">
                <v:textbox>
                  <w:txbxContent>
                    <w:p w:rsidR="002E1F90" w:rsidRPr="002E1F90" w:rsidRDefault="002E1F90" w:rsidP="002E1F90">
                      <w:pPr>
                        <w:rPr>
                          <w:sz w:val="20"/>
                          <w:szCs w:val="20"/>
                        </w:rPr>
                      </w:pPr>
                      <w:r>
                        <w:rPr>
                          <w:sz w:val="20"/>
                          <w:szCs w:val="20"/>
                        </w:rPr>
                        <w:t>INFLAMAÇÃO</w:t>
                      </w:r>
                    </w:p>
                  </w:txbxContent>
                </v:textbox>
              </v:shape>
            </w:pict>
          </mc:Fallback>
        </mc:AlternateContent>
      </w:r>
      <w:r>
        <w:rPr>
          <w:noProof/>
          <w:lang w:eastAsia="pt-BR"/>
        </w:rPr>
        <mc:AlternateContent>
          <mc:Choice Requires="wps">
            <w:drawing>
              <wp:anchor distT="0" distB="0" distL="114300" distR="114300" simplePos="0" relativeHeight="251666432" behindDoc="0" locked="0" layoutInCell="1" allowOverlap="1">
                <wp:simplePos x="0" y="0"/>
                <wp:positionH relativeFrom="column">
                  <wp:posOffset>4892040</wp:posOffset>
                </wp:positionH>
                <wp:positionV relativeFrom="paragraph">
                  <wp:posOffset>2472054</wp:posOffset>
                </wp:positionV>
                <wp:extent cx="95250" cy="923925"/>
                <wp:effectExtent l="0" t="0" r="76200" b="47625"/>
                <wp:wrapNone/>
                <wp:docPr id="8" name="Conector de Seta Reta 8"/>
                <wp:cNvGraphicFramePr/>
                <a:graphic xmlns:a="http://schemas.openxmlformats.org/drawingml/2006/main">
                  <a:graphicData uri="http://schemas.microsoft.com/office/word/2010/wordprocessingShape">
                    <wps:wsp>
                      <wps:cNvCnPr/>
                      <wps:spPr>
                        <a:xfrm>
                          <a:off x="0" y="0"/>
                          <a:ext cx="95250" cy="923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3AA6FA" id="_x0000_t32" coordsize="21600,21600" o:spt="32" o:oned="t" path="m,l21600,21600e" filled="f">
                <v:path arrowok="t" fillok="f" o:connecttype="none"/>
                <o:lock v:ext="edit" shapetype="t"/>
              </v:shapetype>
              <v:shape id="Conector de Seta Reta 8" o:spid="_x0000_s1026" type="#_x0000_t32" style="position:absolute;margin-left:385.2pt;margin-top:194.65pt;width:7.5pt;height:72.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9p1wEAAAAEAAAOAAAAZHJzL2Uyb0RvYy54bWysU9tuEzEQfUfiHyy/k02Cgpoomz6kwAuC&#10;qC0f4HrHWUu+aTzk8veMvckWAUKi6svs+nJmzjkzXt+evBMHwGxjaOVsMpUCgo6dDftWfn/89O5G&#10;ikwqdMrFAK08Q5a3m7dv1se0gnnso+sABScJeXVMreyJ0qppsu7BqzyJCQIfmoheES9x33Sojpzd&#10;u2Y+nX5ojhG7hFFDzrx7NxzKTc1vDGj6ZkwGEq6VzI1qxBqfSmw2a7Xao0q91Rca6gUsvLKBi46p&#10;7hQp8QPtH6m81RhzNDTR0TfRGKuhamA1s+lvah56laBqYXNyGm3Kr5dWfz3sUNiuldyooDy3aMuN&#10;0hRRdCAegHXcl3BTrDqmvGLENuzwsspph0X3yaAvX1YkTtXe82gvnEho3lwu5gvugeaT5fz9cr4o&#10;KZtnbMJMnyF6UX5amQmV3ffEfAZCs+qwOnzJNACvgFLYhRJJWfcxdILOiZUQWhX2Di51ypWmSBhI&#10;1z86Oxjg92DYB6Y5lKkTCFuH4qB4dpTWEGg2ZuLbBWascyNwWvn9E3i5X6BQp/N/wCOiVo6BRrC3&#10;IeLfqtPpStkM968ODLqLBU+xO9d2Vmt4zGpPLk+izPGv6wp/fribnwAAAP//AwBQSwMEFAAGAAgA&#10;AAAhANwNEPjgAAAACwEAAA8AAABkcnMvZG93bnJldi54bWxMj8FOwzAMhu9IvENkJG4sZd1oV5pO&#10;CIkdQQwOcMsar6nWOFWTtYWnx5zgaPvT7+8vt7PrxIhDaD0puF0kIJBqb1pqFLy/Pd3kIELUZHTn&#10;CRV8YYBtdXlR6sL4iV5x3MdGcAiFQiuwMfaFlKG26HRY+B6Jb0c/OB15HBppBj1xuOvkMknupNMt&#10;8Qere3y0WJ/2Z6fgpfkY3ZJ2rTxuPr93zbM52SkqdX01P9yDiDjHPxh+9VkdKnY6+DOZIDoFWZas&#10;GFWQ5psUBBNZvubNQcE6XeUgq1L+71D9AAAA//8DAFBLAQItABQABgAIAAAAIQC2gziS/gAAAOEB&#10;AAATAAAAAAAAAAAAAAAAAAAAAABbQ29udGVudF9UeXBlc10ueG1sUEsBAi0AFAAGAAgAAAAhADj9&#10;If/WAAAAlAEAAAsAAAAAAAAAAAAAAAAALwEAAF9yZWxzLy5yZWxzUEsBAi0AFAAGAAgAAAAhAD/b&#10;32nXAQAAAAQAAA4AAAAAAAAAAAAAAAAALgIAAGRycy9lMm9Eb2MueG1sUEsBAi0AFAAGAAgAAAAh&#10;ANwNEPjgAAAACwEAAA8AAAAAAAAAAAAAAAAAMQQAAGRycy9kb3ducmV2LnhtbFBLBQYAAAAABAAE&#10;APMAAAA+BQAAAAA=&#10;" strokecolor="#4472c4 [3204]" strokeweight=".5pt">
                <v:stroke endarrow="block" joinstyle="miter"/>
              </v:shape>
            </w:pict>
          </mc:Fallback>
        </mc:AlternateContent>
      </w:r>
      <w:r>
        <w:rPr>
          <w:noProof/>
          <w:lang w:eastAsia="pt-BR"/>
        </w:rPr>
        <mc:AlternateContent>
          <mc:Choice Requires="wps">
            <w:drawing>
              <wp:anchor distT="0" distB="0" distL="114300" distR="114300" simplePos="0" relativeHeight="251665408" behindDoc="0" locked="0" layoutInCell="1" allowOverlap="1" wp14:anchorId="00576441" wp14:editId="33ADBB80">
                <wp:simplePos x="0" y="0"/>
                <wp:positionH relativeFrom="column">
                  <wp:posOffset>4339590</wp:posOffset>
                </wp:positionH>
                <wp:positionV relativeFrom="paragraph">
                  <wp:posOffset>3415030</wp:posOffset>
                </wp:positionV>
                <wp:extent cx="1590675" cy="847725"/>
                <wp:effectExtent l="0" t="0" r="28575" b="28575"/>
                <wp:wrapNone/>
                <wp:docPr id="7" name="Caixa de Texto 7"/>
                <wp:cNvGraphicFramePr/>
                <a:graphic xmlns:a="http://schemas.openxmlformats.org/drawingml/2006/main">
                  <a:graphicData uri="http://schemas.microsoft.com/office/word/2010/wordprocessingShape">
                    <wps:wsp>
                      <wps:cNvSpPr txBox="1"/>
                      <wps:spPr>
                        <a:xfrm>
                          <a:off x="0" y="0"/>
                          <a:ext cx="1590675" cy="847725"/>
                        </a:xfrm>
                        <a:prstGeom prst="rect">
                          <a:avLst/>
                        </a:prstGeom>
                        <a:solidFill>
                          <a:schemeClr val="lt1"/>
                        </a:solidFill>
                        <a:ln w="6350">
                          <a:solidFill>
                            <a:prstClr val="black"/>
                          </a:solidFill>
                        </a:ln>
                      </wps:spPr>
                      <wps:txbx>
                        <w:txbxContent>
                          <w:p w:rsidR="002E1F90" w:rsidRDefault="002E1F90" w:rsidP="002E1F90">
                            <w:pPr>
                              <w:rPr>
                                <w:sz w:val="20"/>
                                <w:szCs w:val="20"/>
                              </w:rPr>
                            </w:pPr>
                            <w:r>
                              <w:rPr>
                                <w:sz w:val="20"/>
                                <w:szCs w:val="20"/>
                              </w:rPr>
                              <w:t xml:space="preserve">Evidências limitadas disponíveis </w:t>
                            </w:r>
                          </w:p>
                          <w:p w:rsidR="002E1F90" w:rsidRPr="002E1F90" w:rsidRDefault="002E1F90" w:rsidP="002E1F90">
                            <w:pPr>
                              <w:rPr>
                                <w:sz w:val="20"/>
                                <w:szCs w:val="20"/>
                              </w:rPr>
                            </w:pPr>
                            <w:r>
                              <w:rPr>
                                <w:sz w:val="20"/>
                                <w:szCs w:val="20"/>
                              </w:rPr>
                              <w:t>Discutir riscos e benefícios com o paciente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76441" id="Caixa de Texto 7" o:spid="_x0000_s1029" type="#_x0000_t202" style="position:absolute;margin-left:341.7pt;margin-top:268.9pt;width:125.2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GfVAIAAK4EAAAOAAAAZHJzL2Uyb0RvYy54bWysVMFuGjEQvVfqP1i+lwUCIUEsESVKVQkl&#10;kSDKefB6warX49qGXfr1HXuBkLSnqhfv2PP8PPNmZid3TaXZXjqv0OS81+lyJo3AQplNzl9WD19u&#10;OPMBTAEajcz5QXp+N/38aVLbsezjFnUhHSMS48e1zfk2BDvOMi+2sgLfQSsNOUt0FQTauk1WOKiJ&#10;vdJZv9u9zmp0hXUopPd0et86+TTxl6UU4aksvQxM55xiC2l1aV3HNZtOYLxxYLdKHMOAf4iiAmXo&#10;0TPVPQRgO6f+oKqUcOixDB2BVYZlqYRMOVA2ve6HbJZbsDLlQuJ4e5bJ/z9a8bh/dkwVOR9xZqCi&#10;Es1BNcAKyVayCchGUaPa+jFBl5bAofmKDdX6dO7pMKbelK6KX0qKkZ/UPpwVJiYm4qXhbfd6NORM&#10;kO9mMBr1h5Eme7ttnQ/fJFYsGjl3VMEkLOwXPrTQEyQ+5lGr4kFpnTaxa+RcO7YHqrcOKUYif4fS&#10;htU5v74adhPxO1+kPt9faxA/juFdoIhPG4o5atLmHq3QrJuk49VJlzUWB5LLYdt03ooHRfQL8OEZ&#10;HHUZKUSTE55oKTVSTHi0ONui+/W384in4pOXs5q6Nuf+5w6c5Ex/N9QWt73BILZ52gyGoz5t3KVn&#10;fekxu2qOJFSPZtSKZEZ80CezdFi90oDN4qvkAiPo7ZyHkzkP7SzRgAo5myUQNbaFsDBLKyJ1LEyU&#10;ddW8grPHsgZqiEc89TeMP1S3xcabBme7gKVKpY86t6oe5aehSM1zHOA4dZf7hHr7zUx/AwAA//8D&#10;AFBLAwQUAAYACAAAACEA4WO2P94AAAALAQAADwAAAGRycy9kb3ducmV2LnhtbEyPwU7DMBBE70j8&#10;g7VI3KhTDG0S4lSACpeeKIizG7u2RbyOYjcNf89yguNqnmbfNJs59GwyY/IRJSwXBTCDXdQerYSP&#10;95ebEljKCrXqIxoJ3ybBpr28aFSt4xnfzLTPllEJplpJcDkPNeepcyaotIiDQcqOcQwq0zlarkd1&#10;pvLQ89uiWPGgPNIHpwbz7Ez3tT8FCdsnW9muVKPbltr7af487uyrlNdX8+MDsGzm/AfDrz6pQ0tO&#10;h3hCnVgvYVWKO0Il3Is1bSCiEqICdqBovRTA24b/39D+AAAA//8DAFBLAQItABQABgAIAAAAIQC2&#10;gziS/gAAAOEBAAATAAAAAAAAAAAAAAAAAAAAAABbQ29udGVudF9UeXBlc10ueG1sUEsBAi0AFAAG&#10;AAgAAAAhADj9If/WAAAAlAEAAAsAAAAAAAAAAAAAAAAALwEAAF9yZWxzLy5yZWxzUEsBAi0AFAAG&#10;AAgAAAAhAKGKIZ9UAgAArgQAAA4AAAAAAAAAAAAAAAAALgIAAGRycy9lMm9Eb2MueG1sUEsBAi0A&#10;FAAGAAgAAAAhAOFjtj/eAAAACwEAAA8AAAAAAAAAAAAAAAAArgQAAGRycy9kb3ducmV2LnhtbFBL&#10;BQYAAAAABAAEAPMAAAC5BQAAAAA=&#10;" fillcolor="white [3201]" strokeweight=".5pt">
                <v:textbox>
                  <w:txbxContent>
                    <w:p w:rsidR="002E1F90" w:rsidRDefault="002E1F90" w:rsidP="002E1F90">
                      <w:pPr>
                        <w:rPr>
                          <w:sz w:val="20"/>
                          <w:szCs w:val="20"/>
                        </w:rPr>
                      </w:pPr>
                      <w:r>
                        <w:rPr>
                          <w:sz w:val="20"/>
                          <w:szCs w:val="20"/>
                        </w:rPr>
                        <w:t xml:space="preserve">Evidências limitadas disponíveis </w:t>
                      </w:r>
                    </w:p>
                    <w:p w:rsidR="002E1F90" w:rsidRPr="002E1F90" w:rsidRDefault="002E1F90" w:rsidP="002E1F90">
                      <w:pPr>
                        <w:rPr>
                          <w:sz w:val="20"/>
                          <w:szCs w:val="20"/>
                        </w:rPr>
                      </w:pPr>
                      <w:r>
                        <w:rPr>
                          <w:sz w:val="20"/>
                          <w:szCs w:val="20"/>
                        </w:rPr>
                        <w:t>Discutir riscos e benefícios com o paciente</w:t>
                      </w:r>
                    </w:p>
                  </w:txbxContent>
                </v:textbox>
              </v:shape>
            </w:pict>
          </mc:Fallback>
        </mc:AlternateContent>
      </w:r>
      <w:r>
        <w:rPr>
          <w:noProof/>
          <w:lang w:eastAsia="pt-BR"/>
        </w:rPr>
        <mc:AlternateContent>
          <mc:Choice Requires="wps">
            <w:drawing>
              <wp:anchor distT="0" distB="0" distL="114300" distR="114300" simplePos="0" relativeHeight="251663360" behindDoc="0" locked="0" layoutInCell="1" allowOverlap="1">
                <wp:simplePos x="0" y="0"/>
                <wp:positionH relativeFrom="column">
                  <wp:posOffset>2710815</wp:posOffset>
                </wp:positionH>
                <wp:positionV relativeFrom="paragraph">
                  <wp:posOffset>2272030</wp:posOffset>
                </wp:positionV>
                <wp:extent cx="857250" cy="647700"/>
                <wp:effectExtent l="38100" t="0" r="19050" b="57150"/>
                <wp:wrapNone/>
                <wp:docPr id="6" name="Conector de Seta Reta 6"/>
                <wp:cNvGraphicFramePr/>
                <a:graphic xmlns:a="http://schemas.openxmlformats.org/drawingml/2006/main">
                  <a:graphicData uri="http://schemas.microsoft.com/office/word/2010/wordprocessingShape">
                    <wps:wsp>
                      <wps:cNvCnPr/>
                      <wps:spPr>
                        <a:xfrm flipH="1">
                          <a:off x="0" y="0"/>
                          <a:ext cx="85725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C71BE" id="Conector de Seta Reta 6" o:spid="_x0000_s1026" type="#_x0000_t32" style="position:absolute;margin-left:213.45pt;margin-top:178.9pt;width:67.5pt;height:51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mW4QEAAAsEAAAOAAAAZHJzL2Uyb0RvYy54bWysU9uOEzEMfUfiH6K805lWbLuqOt2HLpcH&#10;BKtd+IBsxulEyk2O6eXvcTLtgAAhgXixJonPsc+xZ3N38k4cALONoZPzWSsFBB17G/ad/PL57atb&#10;KTKp0CsXA3TyDFnebV++2BzTGhZxiK4HFEwS8vqYOjkQpXXTZD2AV3kWEwR+NBG9Ij7ivulRHZnd&#10;u2bRtsvmGLFPGDXkzLf346PcVn5jQNMnYzKQcJ3k3qhGrPG5xGa7Ues9qjRYfWlD/UMXXtnARSeq&#10;e0VKfEX7C5W3GmOOhmY6+iYaYzVUDaxm3v6k5mlQCaoWNienyab8/2j1x8MDCtt3cilFUJ5HtONB&#10;aYooehBPwDoeS1gWq44prxmxCw94OeX0gEX3yaAXxtn0nregOsHaxKkafZ6MhhMJzZe3N6vFDY9D&#10;89Py9WrV1kE0I02hS5jpHUQvykcnM6Gy+4G4tbG3sYQ6fMjEjTDwCihgF0okZd2b0As6JxZFaFXY&#10;OygqOL2kNEXN2H/9orODEf4Ihi3hPscydRlh51AcFK+R0hoCzScmzi4wY52bgG214I/AS36BQl3U&#10;vwFPiFo5BprA3oaIv6tOp2vLZsy/OjDqLhY8x/5cJ1ut4Y2rXl3+jrLSP54r/Ps/vP0GAAD//wMA&#10;UEsDBBQABgAIAAAAIQCnb+K34QAAAAsBAAAPAAAAZHJzL2Rvd25yZXYueG1sTI/NTsMwEITvSLyD&#10;tUjcqNNCQhLiVPw0B3pAoiDE0YmXJBCvo9htw9uznOC4M59mZ4r1bAdxwMn3jhQsFxEIpMaZnloF&#10;ry/VRQrCB01GD45QwTd6WJenJ4XOjTvSMx52oRUcQj7XCroQxlxK33RotV+4EYm9DzdZHficWmkm&#10;feRwO8hVFCXS6p74Q6dHvO+w+drtLac8VnfZ5vPpPd0+bO1bXdl2k1mlzs/m2xsQAefwB8Nvfa4O&#10;JXeq3Z6MF4OCq1WSMargMr7mDUzEyZKVmq04S0GWhfy/ofwBAAD//wMAUEsBAi0AFAAGAAgAAAAh&#10;ALaDOJL+AAAA4QEAABMAAAAAAAAAAAAAAAAAAAAAAFtDb250ZW50X1R5cGVzXS54bWxQSwECLQAU&#10;AAYACAAAACEAOP0h/9YAAACUAQAACwAAAAAAAAAAAAAAAAAvAQAAX3JlbHMvLnJlbHNQSwECLQAU&#10;AAYACAAAACEAz1OpluEBAAALBAAADgAAAAAAAAAAAAAAAAAuAgAAZHJzL2Uyb0RvYy54bWxQSwEC&#10;LQAUAAYACAAAACEAp2/it+EAAAALAQAADwAAAAAAAAAAAAAAAAA7BAAAZHJzL2Rvd25yZXYueG1s&#10;UEsFBgAAAAAEAAQA8wAAAEkFAAAAAA==&#10;" strokecolor="#4472c4 [3204]" strokeweight=".5pt">
                <v:stroke endarrow="block" joinstyle="miter"/>
              </v:shape>
            </w:pict>
          </mc:Fallback>
        </mc:AlternateContent>
      </w:r>
      <w:r>
        <w:rPr>
          <w:noProof/>
          <w:lang w:eastAsia="pt-BR"/>
        </w:rPr>
        <mc:AlternateContent>
          <mc:Choice Requires="wps">
            <w:drawing>
              <wp:anchor distT="0" distB="0" distL="114300" distR="114300" simplePos="0" relativeHeight="251662336" behindDoc="0" locked="0" layoutInCell="1" allowOverlap="1" wp14:anchorId="30B57650" wp14:editId="3C88968E">
                <wp:simplePos x="0" y="0"/>
                <wp:positionH relativeFrom="column">
                  <wp:posOffset>1472566</wp:posOffset>
                </wp:positionH>
                <wp:positionV relativeFrom="paragraph">
                  <wp:posOffset>2919730</wp:posOffset>
                </wp:positionV>
                <wp:extent cx="1657350" cy="457200"/>
                <wp:effectExtent l="0" t="0" r="19050" b="19050"/>
                <wp:wrapNone/>
                <wp:docPr id="5" name="Caixa de Texto 5"/>
                <wp:cNvGraphicFramePr/>
                <a:graphic xmlns:a="http://schemas.openxmlformats.org/drawingml/2006/main">
                  <a:graphicData uri="http://schemas.microsoft.com/office/word/2010/wordprocessingShape">
                    <wps:wsp>
                      <wps:cNvSpPr txBox="1"/>
                      <wps:spPr>
                        <a:xfrm>
                          <a:off x="0" y="0"/>
                          <a:ext cx="1657350" cy="457200"/>
                        </a:xfrm>
                        <a:prstGeom prst="rect">
                          <a:avLst/>
                        </a:prstGeom>
                        <a:solidFill>
                          <a:schemeClr val="lt1"/>
                        </a:solidFill>
                        <a:ln w="6350">
                          <a:solidFill>
                            <a:prstClr val="black"/>
                          </a:solidFill>
                        </a:ln>
                      </wps:spPr>
                      <wps:txbx>
                        <w:txbxContent>
                          <w:p w:rsidR="002E1F90" w:rsidRPr="002E1F90" w:rsidRDefault="002E1F90" w:rsidP="002E1F90">
                            <w:pPr>
                              <w:rPr>
                                <w:sz w:val="20"/>
                                <w:szCs w:val="20"/>
                              </w:rPr>
                            </w:pPr>
                            <w:r w:rsidRPr="002E1F90">
                              <w:rPr>
                                <w:sz w:val="20"/>
                                <w:szCs w:val="20"/>
                              </w:rPr>
                              <w:t xml:space="preserve">Recomendação </w:t>
                            </w:r>
                            <w:r>
                              <w:rPr>
                                <w:sz w:val="20"/>
                                <w:szCs w:val="20"/>
                              </w:rPr>
                              <w:t>condicional a retirada do 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B57650" id="Caixa de Texto 5" o:spid="_x0000_s1030" type="#_x0000_t202" style="position:absolute;margin-left:115.95pt;margin-top:229.9pt;width:13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bBTgIAAK4EAAAOAAAAZHJzL2Uyb0RvYy54bWysVFFv2jAQfp+0/2D5fQQ6oFtEqBgV0yTU&#10;VoKpz4fjgDXH59mGhP36nR2grN3TtBfn7Dt/vvvuu0zu2lqzg3ReoSn4oNfnTBqBpTLbgn9fLz58&#10;4swHMCVoNLLgR+n53fT9u0ljc3mDO9SldIxAjM8bW/BdCDbPMi92sgbfQysNOSt0NQTaum1WOmgI&#10;vdbZTb8/zhp0pXUopPd0et85+TThV5UU4bGqvAxMF5xyC2l1ad3ENZtOIN86sDslTmnAP2RRgzL0&#10;6AXqHgKwvVNvoGolHHqsQk9gnWFVKSFTDVTNoP+qmtUOrEy1EDneXmjy/w9WPByeHFNlwUecGaip&#10;RXNQLbBSsrVsA7JR5KixPqfQlaXg0H7Blnp9Pvd0GEtvK1fHLxXFyE9sHy8MExIT8dJ4dPtxRC5B&#10;vuHolloYYbKX29b58FVizaJRcEcdTMTCYelDF3oOiY951KpcKK3TJqpGzrVjB6B+65ByJPA/orRh&#10;TcHHMY03CBH6cn+jQfw4pXeFQHjaUM6Rk672aIV20yYeh2deNlgeiS6Hnei8FQtF8Evw4QkcqYxo&#10;oMkJj7RUGiknPFmc7dD9+tt5jKfmk5ezhlRbcP9zD05ypr8ZksXnwXAYZZ42iV/O3LVnc+0x+3qO&#10;RNSAZtSKZNJlF/TZrBzWzzRgs/gqucAIervg4WzOQzdLNKBCzmYpiIRtISzNyooIHTmOtK7bZ3D2&#10;1NZAgnjAs74hf9XdLjbeNDjbB6xUan3kuWP1RD8NRRLPaYDj1F3vU9TLb2b6GwAA//8DAFBLAwQU&#10;AAYACAAAACEAstyYwd8AAAALAQAADwAAAGRycy9kb3ducmV2LnhtbEyPwU7DMAyG70i8Q2Qkbixt&#10;t6G2azoBGlw4bSDOXpMl0ZqkarKuvD3mBEfbn35/f7OdXc8mNUYbvIB8kQFTvgvSei3g8+P1oQQW&#10;E3qJffBKwLeKsG1vbxqsZbj6vZoOSTMK8bFGASaloeY8dkY5jIswKE+3UxgdJhpHzeWIVwp3PS+y&#10;7JE7tJ4+GBzUi1Hd+XBxAnbPutJdiaPZldLaaf46ves3Ie7v5qcNsKTm9AfDrz6pQ0tOx3DxMrJe&#10;QLHMK0IFrNYVdSBiVRW0OQpYL/MSeNvw/x3aHwAAAP//AwBQSwECLQAUAAYACAAAACEAtoM4kv4A&#10;AADhAQAAEwAAAAAAAAAAAAAAAAAAAAAAW0NvbnRlbnRfVHlwZXNdLnhtbFBLAQItABQABgAIAAAA&#10;IQA4/SH/1gAAAJQBAAALAAAAAAAAAAAAAAAAAC8BAABfcmVscy8ucmVsc1BLAQItABQABgAIAAAA&#10;IQCE3WbBTgIAAK4EAAAOAAAAAAAAAAAAAAAAAC4CAABkcnMvZTJvRG9jLnhtbFBLAQItABQABgAI&#10;AAAAIQCy3JjB3wAAAAsBAAAPAAAAAAAAAAAAAAAAAKgEAABkcnMvZG93bnJldi54bWxQSwUGAAAA&#10;AAQABADzAAAAtAUAAAAA&#10;" fillcolor="white [3201]" strokeweight=".5pt">
                <v:textbox>
                  <w:txbxContent>
                    <w:p w:rsidR="002E1F90" w:rsidRPr="002E1F90" w:rsidRDefault="002E1F90" w:rsidP="002E1F90">
                      <w:pPr>
                        <w:rPr>
                          <w:sz w:val="20"/>
                          <w:szCs w:val="20"/>
                        </w:rPr>
                      </w:pPr>
                      <w:r w:rsidRPr="002E1F90">
                        <w:rPr>
                          <w:sz w:val="20"/>
                          <w:szCs w:val="20"/>
                        </w:rPr>
                        <w:t xml:space="preserve">Recomendação </w:t>
                      </w:r>
                      <w:r>
                        <w:rPr>
                          <w:sz w:val="20"/>
                          <w:szCs w:val="20"/>
                        </w:rPr>
                        <w:t>condicional a retirada do CI</w:t>
                      </w:r>
                    </w:p>
                  </w:txbxContent>
                </v:textbox>
              </v:shape>
            </w:pict>
          </mc:Fallback>
        </mc:AlternateContent>
      </w: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4596765</wp:posOffset>
                </wp:positionH>
                <wp:positionV relativeFrom="paragraph">
                  <wp:posOffset>176530</wp:posOffset>
                </wp:positionV>
                <wp:extent cx="0" cy="485775"/>
                <wp:effectExtent l="76200" t="0" r="57150" b="47625"/>
                <wp:wrapNone/>
                <wp:docPr id="4" name="Conector de Seta Reta 4"/>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86D920" id="Conector de Seta Reta 4" o:spid="_x0000_s1026" type="#_x0000_t32" style="position:absolute;margin-left:361.95pt;margin-top:13.9pt;width:0;height:38.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KG0gEAAPwDAAAOAAAAZHJzL2Uyb0RvYy54bWysU9tuEzEQfUfiHyy/k02qlFZRNn1IgRcE&#10;UQsf4HrHWUu+aTwkm79n7E22CBBSK15m15czc86Z8fpu8E4cALONoZWL2VwKCDp2Nuxb+f3bx3e3&#10;UmRSoVMuBmjlCbK827x9sz6mFVzFProOUHCSkFfH1MqeKK2aJusevMqzmCDwoYnoFfES902H6sjZ&#10;vWuu5vP3zTFilzBqyJl378dDuan5jQFNX43JQMK1krlRjVjjU4nNZq1We1Spt/pMQ72ChVc2cNEp&#10;1b0iJX6g/SOVtxpjjoZmOvomGmM1VA2sZjH/Tc1jrxJULWxOTpNN+f+l1V8OOxS2a+VSiqA8t2jL&#10;jdIUUXQgHoF1PJSwLFYdU14xYht2eF7ltMOiezDoy5cViaHae5rshYGEHjc17y5vr29urku65hmX&#10;MNMniF6Un1ZmQmX3PTGXkcyiuqsOnzONwAugFHWhRFLWfQidoFNiFYRWhb2Dc51ypSn0R8L1j04O&#10;RvgDGPaAKY5l6vTB1qE4KJ4bpTUEWkyZ+HaBGevcBJxXfv8Enu8XKNTJfAl4QtTKMdAE9jZE/Ft1&#10;Gi6UzXj/4sCou1jwFLtTbWW1hkes9uT8HMoM/7qu8OdHu/kJAAD//wMAUEsDBBQABgAIAAAAIQDx&#10;VVEp3QAAAAoBAAAPAAAAZHJzL2Rvd25yZXYueG1sTI/BTsMwDIbvSLxDZCRuLKVDbCtNJ4TEjiAG&#10;B3bLGi+p1jhVk7WFp8eIwzja/vT7+8v15FsxYB+bQApuZxkIpDqYhqyCj/fnmyWImDQZ3QZCBV8Y&#10;YV1dXpS6MGGkNxy2yQoOoVhoBS6lrpAy1g69jrPQIfHtEHqvE4+9labXI4f7VuZZdi+9bog/ON3h&#10;k8P6uD15Ba/2c/A5bRp5WO2+N/bFHN2YlLq+mh4fQCSc0hmGX31Wh4qd9uFEJopWwSKfrxhVkC+4&#10;AgN/iz2T2d0cZFXK/xWqHwAAAP//AwBQSwECLQAUAAYACAAAACEAtoM4kv4AAADhAQAAEwAAAAAA&#10;AAAAAAAAAAAAAAAAW0NvbnRlbnRfVHlwZXNdLnhtbFBLAQItABQABgAIAAAAIQA4/SH/1gAAAJQB&#10;AAALAAAAAAAAAAAAAAAAAC8BAABfcmVscy8ucmVsc1BLAQItABQABgAIAAAAIQCHEKKG0gEAAPwD&#10;AAAOAAAAAAAAAAAAAAAAAC4CAABkcnMvZTJvRG9jLnhtbFBLAQItABQABgAIAAAAIQDxVVEp3QAA&#10;AAoBAAAPAAAAAAAAAAAAAAAAACwEAABkcnMvZG93bnJldi54bWxQSwUGAAAAAAQABADzAAAANgUA&#10;AAAA&#10;" strokecolor="#4472c4 [3204]" strokeweight=".5pt">
                <v:stroke endarrow="block" joinstyle="miter"/>
              </v:shape>
            </w:pict>
          </mc:Fallback>
        </mc:AlternateContent>
      </w: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3825240</wp:posOffset>
                </wp:positionH>
                <wp:positionV relativeFrom="paragraph">
                  <wp:posOffset>-280670</wp:posOffset>
                </wp:positionV>
                <wp:extent cx="1590675" cy="457200"/>
                <wp:effectExtent l="0" t="0" r="28575" b="19050"/>
                <wp:wrapNone/>
                <wp:docPr id="3" name="Caixa de Texto 3"/>
                <wp:cNvGraphicFramePr/>
                <a:graphic xmlns:a="http://schemas.openxmlformats.org/drawingml/2006/main">
                  <a:graphicData uri="http://schemas.microsoft.com/office/word/2010/wordprocessingShape">
                    <wps:wsp>
                      <wps:cNvSpPr txBox="1"/>
                      <wps:spPr>
                        <a:xfrm>
                          <a:off x="0" y="0"/>
                          <a:ext cx="1590675" cy="457200"/>
                        </a:xfrm>
                        <a:prstGeom prst="rect">
                          <a:avLst/>
                        </a:prstGeom>
                        <a:solidFill>
                          <a:schemeClr val="lt1"/>
                        </a:solidFill>
                        <a:ln w="6350">
                          <a:solidFill>
                            <a:prstClr val="black"/>
                          </a:solidFill>
                        </a:ln>
                      </wps:spPr>
                      <wps:txbx>
                        <w:txbxContent>
                          <w:p w:rsidR="002E1F90" w:rsidRPr="002E1F90" w:rsidRDefault="002E1F90">
                            <w:pPr>
                              <w:rPr>
                                <w:sz w:val="20"/>
                                <w:szCs w:val="20"/>
                              </w:rPr>
                            </w:pPr>
                            <w:r w:rsidRPr="002E1F90">
                              <w:rPr>
                                <w:sz w:val="20"/>
                                <w:szCs w:val="20"/>
                              </w:rPr>
                              <w:t>Recomendação forte para manutenção do 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3" o:spid="_x0000_s1031" type="#_x0000_t202" style="position:absolute;margin-left:301.2pt;margin-top:-22.1pt;width:125.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UUgIAAK4EAAAOAAAAZHJzL2Uyb0RvYy54bWysVE1vGjEQvVfqf7B8LwvhIw1iiSgRVSWU&#10;RIIq58HrBatej2sbdumv79gLhKQ9Vb14x57x88ybNzu5byrNDtJ5hSbnvU6XM2kEFspsc/59vfj0&#10;mTMfwBSg0cicH6Xn99OPHya1Hcsb3KEupGMEYvy4tjnfhWDHWebFTlbgO2ilIWeJroJAW7fNCgc1&#10;oVc6u+l2R1mNrrAOhfSeTh9aJ58m/LKUIjyVpZeB6ZxTbiGtLq2buGbTCYy3DuxOiVMa8A9ZVKAM&#10;PXqBeoAAbO/UH1CVEg49lqEjsMqwLJWQqQaqptd9V81qB1amWogcby80+f8HKx4Pz46pIud9zgxU&#10;1KI5qAZYIdlaNgFZP3JUWz+m0JWl4NB8wYZ6fT73dBhLb0pXxS8VxchPbB8vDBMSE/HS8K47uh1y&#10;Jsg3GN5SCyNM9nrbOh++SqxYNHLuqIOJWDgsfWhDzyHxMY9aFQulddpE1ci5duwA1G8dUo4E/iZK&#10;G1bnfNQfdhPwG1+EvtzfaBA/TuldRRGeNpRz5KStPVqh2TSJx+GZlw0WR6LLYSs6b8VCEfwSfHgG&#10;RyojhmhywhMtpUbKCU8WZzt0v/52HuOp+eTlrCbV5tz/3IOTnOlvhmRx1xsMoszTJvHLmbv2bK49&#10;Zl/NkYjq0YxakUy67II+m6XD6oUGbBZfJRcYQW/nPJzNeWhniQZUyNksBZGwLYSlWVkRoWNjIq3r&#10;5gWcPbU1kCAe8axvGL/rbhsbbxqc7QOWKrU+8tyyeqKfhiKJ5zTAcequ9ynq9Tcz/Q0AAP//AwBQ&#10;SwMEFAAGAAgAAAAhAFSr3wTeAAAACgEAAA8AAABkcnMvZG93bnJldi54bWxMj8FOwzAQRO9I/IO1&#10;SNxaBysUN41TASpcOFFQz9vYtS1iO7LdNPw95gTH1TzNvG23sxvIpGKywQu4W1ZAlO+DtF4L+Px4&#10;WXAgKaOXOASvBHyrBNvu+qrFRoaLf1fTPmtSSnxqUIDJeWwoTb1RDtMyjMqX7BSiw1zOqKmMeCnl&#10;bqCsqlbUofVlweCono3qv/ZnJ2D3pNe65xjNjktrp/lwetOvQtzezI8bIFnN+Q+GX/2iDl1xOoaz&#10;l4kMAlYVqwsqYFHXDEgh+D1bAzkKYA8caNfS/y90PwAAAP//AwBQSwECLQAUAAYACAAAACEAtoM4&#10;kv4AAADhAQAAEwAAAAAAAAAAAAAAAAAAAAAAW0NvbnRlbnRfVHlwZXNdLnhtbFBLAQItABQABgAI&#10;AAAAIQA4/SH/1gAAAJQBAAALAAAAAAAAAAAAAAAAAC8BAABfcmVscy8ucmVsc1BLAQItABQABgAI&#10;AAAAIQALcu/UUgIAAK4EAAAOAAAAAAAAAAAAAAAAAC4CAABkcnMvZTJvRG9jLnhtbFBLAQItABQA&#10;BgAIAAAAIQBUq98E3gAAAAoBAAAPAAAAAAAAAAAAAAAAAKwEAABkcnMvZG93bnJldi54bWxQSwUG&#10;AAAAAAQABADzAAAAtwUAAAAA&#10;" fillcolor="white [3201]" strokeweight=".5pt">
                <v:textbox>
                  <w:txbxContent>
                    <w:p w:rsidR="002E1F90" w:rsidRPr="002E1F90" w:rsidRDefault="002E1F90">
                      <w:pPr>
                        <w:rPr>
                          <w:sz w:val="20"/>
                          <w:szCs w:val="20"/>
                        </w:rPr>
                      </w:pPr>
                      <w:r w:rsidRPr="002E1F90">
                        <w:rPr>
                          <w:sz w:val="20"/>
                          <w:szCs w:val="20"/>
                        </w:rPr>
                        <w:t>Recomendação forte para manutenção do CI</w:t>
                      </w:r>
                    </w:p>
                  </w:txbxContent>
                </v:textbox>
              </v:shape>
            </w:pict>
          </mc:Fallback>
        </mc:AlternateContent>
      </w:r>
      <w:r w:rsidRPr="0049013E">
        <w:rPr>
          <w:noProof/>
          <w:lang w:eastAsia="pt-BR"/>
        </w:rPr>
        <w:drawing>
          <wp:inline distT="0" distB="0" distL="0" distR="0" wp14:anchorId="3588D52A" wp14:editId="5D667BD5">
            <wp:extent cx="6036945" cy="33238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44136" cy="3327799"/>
                    </a:xfrm>
                    <a:prstGeom prst="rect">
                      <a:avLst/>
                    </a:prstGeom>
                    <a:noFill/>
                    <a:ln>
                      <a:noFill/>
                    </a:ln>
                  </pic:spPr>
                </pic:pic>
              </a:graphicData>
            </a:graphic>
          </wp:inline>
        </w:drawing>
      </w:r>
    </w:p>
    <w:p w:rsidR="002E1F90" w:rsidRDefault="002E1F90" w:rsidP="00AC17DE"/>
    <w:p w:rsidR="002E1F90" w:rsidRDefault="002E1F90" w:rsidP="00AC17DE"/>
    <w:p w:rsidR="002E1F90" w:rsidRDefault="002E1F90" w:rsidP="00AC17DE"/>
    <w:p w:rsidR="002E1F90" w:rsidRDefault="002E1F90" w:rsidP="00AC17DE"/>
    <w:p w:rsidR="002E1F90" w:rsidRDefault="002E1F90" w:rsidP="00AC17DE">
      <w:r w:rsidRPr="002E1F90">
        <w:t>Resumo das recomendações das diretrizes</w:t>
      </w:r>
      <w:r w:rsidR="00521BC6">
        <w:t>( C</w:t>
      </w:r>
      <w:r>
        <w:t>I =</w:t>
      </w:r>
      <w:r w:rsidRPr="002E1F90">
        <w:t xml:space="preserve"> corticosteroide inalado</w:t>
      </w:r>
      <w:r w:rsidR="00521BC6">
        <w:t>):</w:t>
      </w:r>
      <w:r w:rsidRPr="002E1F90">
        <w:t xml:space="preserve"> Recomendamos levar em consideração o histórico de exacerbações anteriores e a contagem de eosinófilos no sangue. Pacientes com alta taxa de exacerbações e contage</w:t>
      </w:r>
      <w:r w:rsidR="00E00E10">
        <w:t>m</w:t>
      </w:r>
      <w:r w:rsidRPr="002E1F90">
        <w:t xml:space="preserve"> de eosinófilos</w:t>
      </w:r>
      <w:r w:rsidR="00E00E10">
        <w:t xml:space="preserve"> no sangue </w:t>
      </w:r>
      <w:r>
        <w:t>≥</w:t>
      </w:r>
      <w:r w:rsidRPr="002E1F90">
        <w:t xml:space="preserve"> 300 não devem ser considerados para a retirada do CI. Os pacientes que não atendem a esses critérios podem ser candidatos à retirada do </w:t>
      </w:r>
      <w:r w:rsidR="00E00E10">
        <w:t>CI.</w:t>
      </w:r>
    </w:p>
    <w:p w:rsidR="00E00E10" w:rsidRDefault="00E00E10" w:rsidP="00AC17DE"/>
    <w:p w:rsidR="00E00E10" w:rsidRPr="00E00E10" w:rsidRDefault="00E00E10" w:rsidP="00E00E10">
      <w:pPr>
        <w:rPr>
          <w:b/>
          <w:bCs/>
        </w:rPr>
      </w:pPr>
      <w:r w:rsidRPr="00E00E10">
        <w:rPr>
          <w:b/>
          <w:bCs/>
        </w:rPr>
        <w:t>Recomendações</w:t>
      </w:r>
    </w:p>
    <w:p w:rsidR="00E00E10" w:rsidRDefault="00E00E10" w:rsidP="00E00E10">
      <w:r>
        <w:t>1) Para pacientes com DPOC sem história de exacerbações frequentes, considerar a retirada do CI (</w:t>
      </w:r>
      <w:r w:rsidRPr="00E00E10">
        <w:rPr>
          <w:b/>
          <w:bCs/>
        </w:rPr>
        <w:t>recomendação condicional, qualidade moderada de evidência</w:t>
      </w:r>
      <w:r>
        <w:t>).</w:t>
      </w:r>
    </w:p>
    <w:p w:rsidR="00E00E10" w:rsidRPr="00E00E10" w:rsidRDefault="00E00E10" w:rsidP="00E00E10">
      <w:pPr>
        <w:rPr>
          <w:b/>
          <w:bCs/>
        </w:rPr>
      </w:pPr>
      <w:r>
        <w:t xml:space="preserve">2) Recomendamos não retirar o CI em pacientes com contagem de eosinófilos com </w:t>
      </w:r>
      <w:r>
        <w:rPr>
          <w:rFonts w:ascii="Cambria Math" w:hAnsi="Cambria Math" w:cs="Cambria Math"/>
        </w:rPr>
        <w:t>⩾</w:t>
      </w:r>
      <w:r>
        <w:t>300 eosinófilos no sangue, com ou sem história de exacerbações frequentes (</w:t>
      </w:r>
      <w:r w:rsidRPr="00E00E10">
        <w:rPr>
          <w:b/>
          <w:bCs/>
        </w:rPr>
        <w:t>forte recomendação, qualidade moderada de evidência).</w:t>
      </w:r>
    </w:p>
    <w:p w:rsidR="00E00E10" w:rsidRDefault="00E00E10" w:rsidP="00E00E10">
      <w:r>
        <w:t>3) Se o CI for retirado, os pacientes devem ser tratados com um ou dois broncodilatadores (</w:t>
      </w:r>
      <w:r w:rsidRPr="00E00E10">
        <w:rPr>
          <w:b/>
          <w:bCs/>
        </w:rPr>
        <w:t>forte recomendação, qualidade moderada de evidência</w:t>
      </w:r>
      <w:r>
        <w:t>).</w:t>
      </w:r>
    </w:p>
    <w:p w:rsidR="00E00E10" w:rsidRDefault="00E00E10" w:rsidP="00E00E10"/>
    <w:p w:rsidR="00E00E10" w:rsidRDefault="00E00E10" w:rsidP="00E00E10">
      <w:r>
        <w:lastRenderedPageBreak/>
        <w:t>Para pacientes com DPOC e história de exacerbações frequentes, mas com &lt; 300 eosinófilos no sangue, nenhuma recomendação pode ser formulada devido à falta de evidências. Observ</w:t>
      </w:r>
      <w:r w:rsidR="00521BC6">
        <w:t>ando</w:t>
      </w:r>
      <w:r>
        <w:t xml:space="preserve"> que os pacientes sem história de exacerbações frequentes são aqueles com, no máximo, uma exacerbação moderada no ano anterior.</w:t>
      </w:r>
    </w:p>
    <w:p w:rsidR="00E00E10" w:rsidRDefault="00E00E10" w:rsidP="00E00E10">
      <w:r>
        <w:t>Nossa pesquisa bibliográfica encontrou três estudos nos quais o CI foi interrompido abruptamente, enquanto em um estudo houve retirada gradual. A ausência de diferenças significativas nos resultados entre esses estudos sugere que o CI po</w:t>
      </w:r>
      <w:r w:rsidR="00521BC6">
        <w:t>ssa</w:t>
      </w:r>
      <w:r>
        <w:t xml:space="preserve"> ser retirado abruptamente na maioria dos casos.</w:t>
      </w:r>
    </w:p>
    <w:p w:rsidR="00E00E10" w:rsidRDefault="00E00E10" w:rsidP="00E00E10"/>
    <w:p w:rsidR="00E00E10" w:rsidRPr="00E00E10" w:rsidRDefault="00E00E10" w:rsidP="00E00E10">
      <w:pPr>
        <w:rPr>
          <w:b/>
          <w:bCs/>
          <w:iCs/>
        </w:rPr>
      </w:pPr>
      <w:r w:rsidRPr="00E00E10">
        <w:rPr>
          <w:b/>
          <w:bCs/>
          <w:iCs/>
        </w:rPr>
        <w:t>Recomendação de boa prática</w:t>
      </w:r>
    </w:p>
    <w:p w:rsidR="00E00E10" w:rsidRPr="00E00E10" w:rsidRDefault="00521BC6" w:rsidP="00E00E10">
      <w:pPr>
        <w:rPr>
          <w:iCs/>
        </w:rPr>
      </w:pPr>
      <w:r>
        <w:rPr>
          <w:iCs/>
        </w:rPr>
        <w:t>A</w:t>
      </w:r>
      <w:r w:rsidRPr="00E00E10">
        <w:rPr>
          <w:iCs/>
        </w:rPr>
        <w:t xml:space="preserve">pós a retirada do </w:t>
      </w:r>
      <w:r>
        <w:rPr>
          <w:iCs/>
        </w:rPr>
        <w:t>CI</w:t>
      </w:r>
      <w:r w:rsidRPr="00E00E10">
        <w:rPr>
          <w:iCs/>
        </w:rPr>
        <w:t xml:space="preserve"> </w:t>
      </w:r>
      <w:r>
        <w:rPr>
          <w:iCs/>
        </w:rPr>
        <w:t>recomenda-se o</w:t>
      </w:r>
      <w:r w:rsidR="00E00E10" w:rsidRPr="00E00E10">
        <w:rPr>
          <w:iCs/>
        </w:rPr>
        <w:t xml:space="preserve"> monitoramento da frequência de exacerbaç</w:t>
      </w:r>
      <w:r w:rsidR="00E00E10">
        <w:rPr>
          <w:iCs/>
        </w:rPr>
        <w:t>ões</w:t>
      </w:r>
      <w:r w:rsidR="00E00E10" w:rsidRPr="00E00E10">
        <w:rPr>
          <w:iCs/>
        </w:rPr>
        <w:t>, sintomas e função pulmonar</w:t>
      </w:r>
      <w:r>
        <w:rPr>
          <w:iCs/>
        </w:rPr>
        <w:t>.</w:t>
      </w:r>
      <w:r w:rsidR="00E00E10" w:rsidRPr="00E00E10">
        <w:rPr>
          <w:iCs/>
        </w:rPr>
        <w:t xml:space="preserve"> Alguns pacientes podem piorar após qualquer mudança no tratamento, incluindo a retirada do </w:t>
      </w:r>
      <w:r w:rsidR="00E00E10">
        <w:rPr>
          <w:iCs/>
        </w:rPr>
        <w:t>CI, po</w:t>
      </w:r>
      <w:r w:rsidR="00E00E10" w:rsidRPr="00E00E10">
        <w:rPr>
          <w:iCs/>
        </w:rPr>
        <w:t xml:space="preserve">rtanto o monitoramento contínuo é </w:t>
      </w:r>
      <w:r w:rsidR="00E00E10">
        <w:rPr>
          <w:iCs/>
        </w:rPr>
        <w:t>sempre recomendado</w:t>
      </w:r>
      <w:r w:rsidR="00E00E10" w:rsidRPr="00E00E10">
        <w:rPr>
          <w:i/>
        </w:rPr>
        <w:t>.</w:t>
      </w:r>
    </w:p>
    <w:sectPr w:rsidR="00E00E10" w:rsidRPr="00E00E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jaVu Sans">
    <w:altName w:val="Verdana"/>
    <w:charset w:val="00"/>
    <w:family w:val="swiss"/>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B7CCC"/>
    <w:multiLevelType w:val="hybridMultilevel"/>
    <w:tmpl w:val="ED686F2C"/>
    <w:lvl w:ilvl="0" w:tplc="567A219C">
      <w:start w:val="3"/>
      <w:numFmt w:val="decimal"/>
      <w:lvlText w:val="%1)"/>
      <w:lvlJc w:val="left"/>
      <w:pPr>
        <w:ind w:left="3596" w:hanging="196"/>
      </w:pPr>
      <w:rPr>
        <w:rFonts w:ascii="Times New Roman" w:eastAsia="Times New Roman" w:hAnsi="Times New Roman" w:cs="Times New Roman" w:hint="default"/>
        <w:color w:val="231F20"/>
        <w:spacing w:val="-4"/>
        <w:w w:val="98"/>
        <w:sz w:val="18"/>
        <w:szCs w:val="18"/>
        <w:lang w:val="en-US" w:eastAsia="en-US" w:bidi="ar-SA"/>
      </w:rPr>
    </w:lvl>
    <w:lvl w:ilvl="1" w:tplc="9E188E24">
      <w:start w:val="1"/>
      <w:numFmt w:val="decimal"/>
      <w:lvlText w:val="%2)"/>
      <w:lvlJc w:val="left"/>
      <w:pPr>
        <w:ind w:left="3759" w:hanging="239"/>
      </w:pPr>
      <w:rPr>
        <w:rFonts w:ascii="Times New Roman" w:eastAsia="Times New Roman" w:hAnsi="Times New Roman" w:cs="Times New Roman" w:hint="default"/>
        <w:color w:val="231F20"/>
        <w:w w:val="98"/>
        <w:sz w:val="18"/>
        <w:szCs w:val="18"/>
        <w:lang w:val="en-US" w:eastAsia="en-US" w:bidi="ar-SA"/>
      </w:rPr>
    </w:lvl>
    <w:lvl w:ilvl="2" w:tplc="5C6C1B08">
      <w:numFmt w:val="bullet"/>
      <w:lvlText w:val="•"/>
      <w:lvlJc w:val="left"/>
      <w:pPr>
        <w:ind w:left="4665" w:hanging="239"/>
      </w:pPr>
      <w:rPr>
        <w:rFonts w:hint="default"/>
        <w:lang w:val="en-US" w:eastAsia="en-US" w:bidi="ar-SA"/>
      </w:rPr>
    </w:lvl>
    <w:lvl w:ilvl="3" w:tplc="50A09628">
      <w:numFmt w:val="bullet"/>
      <w:lvlText w:val="•"/>
      <w:lvlJc w:val="left"/>
      <w:pPr>
        <w:ind w:left="5570" w:hanging="239"/>
      </w:pPr>
      <w:rPr>
        <w:rFonts w:hint="default"/>
        <w:lang w:val="en-US" w:eastAsia="en-US" w:bidi="ar-SA"/>
      </w:rPr>
    </w:lvl>
    <w:lvl w:ilvl="4" w:tplc="2AF6937E">
      <w:numFmt w:val="bullet"/>
      <w:lvlText w:val="•"/>
      <w:lvlJc w:val="left"/>
      <w:pPr>
        <w:ind w:left="6475" w:hanging="239"/>
      </w:pPr>
      <w:rPr>
        <w:rFonts w:hint="default"/>
        <w:lang w:val="en-US" w:eastAsia="en-US" w:bidi="ar-SA"/>
      </w:rPr>
    </w:lvl>
    <w:lvl w:ilvl="5" w:tplc="B3A0B3D6">
      <w:numFmt w:val="bullet"/>
      <w:lvlText w:val="•"/>
      <w:lvlJc w:val="left"/>
      <w:pPr>
        <w:ind w:left="7380" w:hanging="239"/>
      </w:pPr>
      <w:rPr>
        <w:rFonts w:hint="default"/>
        <w:lang w:val="en-US" w:eastAsia="en-US" w:bidi="ar-SA"/>
      </w:rPr>
    </w:lvl>
    <w:lvl w:ilvl="6" w:tplc="9310559A">
      <w:numFmt w:val="bullet"/>
      <w:lvlText w:val="•"/>
      <w:lvlJc w:val="left"/>
      <w:pPr>
        <w:ind w:left="8285" w:hanging="239"/>
      </w:pPr>
      <w:rPr>
        <w:rFonts w:hint="default"/>
        <w:lang w:val="en-US" w:eastAsia="en-US" w:bidi="ar-SA"/>
      </w:rPr>
    </w:lvl>
    <w:lvl w:ilvl="7" w:tplc="805256F8">
      <w:numFmt w:val="bullet"/>
      <w:lvlText w:val="•"/>
      <w:lvlJc w:val="left"/>
      <w:pPr>
        <w:ind w:left="9190" w:hanging="239"/>
      </w:pPr>
      <w:rPr>
        <w:rFonts w:hint="default"/>
        <w:lang w:val="en-US" w:eastAsia="en-US" w:bidi="ar-SA"/>
      </w:rPr>
    </w:lvl>
    <w:lvl w:ilvl="8" w:tplc="E46463A2">
      <w:numFmt w:val="bullet"/>
      <w:lvlText w:val="•"/>
      <w:lvlJc w:val="left"/>
      <w:pPr>
        <w:ind w:left="10095" w:hanging="23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3E"/>
    <w:rsid w:val="002E1F90"/>
    <w:rsid w:val="0047306C"/>
    <w:rsid w:val="0049013E"/>
    <w:rsid w:val="00521BC6"/>
    <w:rsid w:val="00AC17DE"/>
    <w:rsid w:val="00AC33C7"/>
    <w:rsid w:val="00E00E10"/>
    <w:rsid w:val="00E154F8"/>
    <w:rsid w:val="00E73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0EEB1-9926-4CCC-9BB9-2AEFC9CA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49013E"/>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CorpodetextoChar">
    <w:name w:val="Corpo de texto Char"/>
    <w:basedOn w:val="Fontepargpadro"/>
    <w:link w:val="Corpodetexto"/>
    <w:uiPriority w:val="1"/>
    <w:rsid w:val="0049013E"/>
    <w:rPr>
      <w:rFonts w:ascii="Times New Roman" w:eastAsia="Times New Roman" w:hAnsi="Times New Roman" w:cs="Times New Roman"/>
      <w:sz w:val="18"/>
      <w:szCs w:val="18"/>
      <w:lang w:val="en-US"/>
    </w:rPr>
  </w:style>
  <w:style w:type="paragraph" w:styleId="PargrafodaLista">
    <w:name w:val="List Paragraph"/>
    <w:basedOn w:val="Normal"/>
    <w:uiPriority w:val="1"/>
    <w:qFormat/>
    <w:rsid w:val="0049013E"/>
    <w:pPr>
      <w:widowControl w:val="0"/>
      <w:autoSpaceDE w:val="0"/>
      <w:autoSpaceDN w:val="0"/>
      <w:spacing w:after="0" w:line="240" w:lineRule="auto"/>
      <w:ind w:left="3781" w:right="734" w:hanging="380"/>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1342</Words>
  <Characters>7247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Vagner Bonato</cp:lastModifiedBy>
  <cp:revision>2</cp:revision>
  <dcterms:created xsi:type="dcterms:W3CDTF">2020-10-30T15:48:00Z</dcterms:created>
  <dcterms:modified xsi:type="dcterms:W3CDTF">2020-10-30T15:48:00Z</dcterms:modified>
</cp:coreProperties>
</file>